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A3" w:rsidRPr="00E84489" w:rsidRDefault="005F3AA3" w:rsidP="005F3AA3">
      <w:pPr>
        <w:ind w:left="5812"/>
        <w:rPr>
          <w:rFonts w:ascii="Franklin Gothic Book" w:hAnsi="Franklin Gothic Book" w:cs="Times New Roman"/>
          <w:sz w:val="22"/>
          <w:szCs w:val="22"/>
        </w:rPr>
      </w:pPr>
      <w:r w:rsidRPr="00E84489">
        <w:rPr>
          <w:rFonts w:ascii="Franklin Gothic Book" w:hAnsi="Franklin Gothic Book" w:cs="Times New Roman"/>
          <w:sz w:val="22"/>
          <w:szCs w:val="22"/>
        </w:rPr>
        <w:t xml:space="preserve">Кому: </w:t>
      </w:r>
    </w:p>
    <w:p w:rsidR="005F3AA3" w:rsidRPr="00DB316E" w:rsidRDefault="005F3AA3" w:rsidP="005F3AA3">
      <w:pPr>
        <w:ind w:left="5812"/>
        <w:rPr>
          <w:rFonts w:ascii="Franklin Gothic Book" w:hAnsi="Franklin Gothic Book" w:cs="Times New Roman"/>
          <w:sz w:val="22"/>
          <w:szCs w:val="22"/>
        </w:rPr>
      </w:pPr>
    </w:p>
    <w:p w:rsidR="005F3AA3" w:rsidRPr="00E84489" w:rsidRDefault="005F3AA3" w:rsidP="005F3AA3">
      <w:pPr>
        <w:ind w:left="5812"/>
        <w:rPr>
          <w:rFonts w:ascii="Franklin Gothic Book" w:hAnsi="Franklin Gothic Book" w:cs="Times New Roman"/>
          <w:sz w:val="22"/>
          <w:szCs w:val="22"/>
        </w:rPr>
      </w:pPr>
      <w:r w:rsidRPr="00E84489">
        <w:rPr>
          <w:rFonts w:ascii="Franklin Gothic Book" w:hAnsi="Franklin Gothic Book" w:cs="Times New Roman"/>
          <w:sz w:val="22"/>
          <w:szCs w:val="22"/>
        </w:rPr>
        <w:t xml:space="preserve">Куда: </w:t>
      </w:r>
    </w:p>
    <w:p w:rsidR="005F3AA3" w:rsidRPr="00E84489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</w:rPr>
      </w:pPr>
    </w:p>
    <w:p w:rsidR="005F3AA3" w:rsidRPr="00DB316E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</w:rPr>
      </w:pPr>
    </w:p>
    <w:p w:rsidR="005F3AA3" w:rsidRPr="00E84489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</w:rPr>
      </w:pPr>
      <w:r w:rsidRPr="00E84489">
        <w:rPr>
          <w:rFonts w:ascii="Franklin Gothic Book" w:hAnsi="Franklin Gothic Book"/>
        </w:rPr>
        <w:t xml:space="preserve">УВЕДОМЛЕНИЕ </w:t>
      </w:r>
    </w:p>
    <w:p w:rsidR="005F3AA3" w:rsidRPr="00E84489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</w:rPr>
      </w:pPr>
      <w:r w:rsidRPr="00E84489">
        <w:rPr>
          <w:rFonts w:ascii="Franklin Gothic Book" w:hAnsi="Franklin Gothic Book"/>
        </w:rPr>
        <w:t>о совершенных  инсайдером операциях с финансовыми инструментами  ПАО «Транснефть»</w:t>
      </w:r>
      <w:r w:rsidR="00017B1C">
        <w:rPr>
          <w:rStyle w:val="ab"/>
          <w:rFonts w:ascii="Franklin Gothic Book" w:hAnsi="Franklin Gothic Book"/>
        </w:rPr>
        <w:footnoteReference w:id="1"/>
      </w:r>
    </w:p>
    <w:p w:rsidR="005F3AA3" w:rsidRPr="00E84489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  <w:b/>
        </w:rPr>
      </w:pPr>
    </w:p>
    <w:tbl>
      <w:tblPr>
        <w:tblStyle w:val="a8"/>
        <w:tblW w:w="9658" w:type="dxa"/>
        <w:tblInd w:w="601" w:type="dxa"/>
        <w:tblLook w:val="04A0" w:firstRow="1" w:lastRow="0" w:firstColumn="1" w:lastColumn="0" w:noHBand="0" w:noVBand="1"/>
      </w:tblPr>
      <w:tblGrid>
        <w:gridCol w:w="4829"/>
        <w:gridCol w:w="4829"/>
      </w:tblGrid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1. Ф.И.О. инсайдера - физического лица / Полное фирменное наименование инсайдера - юридического лица</w:t>
            </w:r>
          </w:p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2. Вид и реквизиты документа, удостоверяющего личность инсайдера - физического лица / ИНН, ОГРН инсайдера - юридического лица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3. Место регистрации инсайдера - физического лица / Место нахождения инсайдера - юридического лица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4. Полное фирменное наименование лица, в список инсайдеров которого включен инсайдер</w:t>
            </w:r>
          </w:p>
        </w:tc>
        <w:tc>
          <w:tcPr>
            <w:tcW w:w="4829" w:type="dxa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  <w:r w:rsidRPr="00E84489">
              <w:rPr>
                <w:rFonts w:ascii="Franklin Gothic Book" w:hAnsi="Franklin Gothic Book"/>
              </w:rPr>
              <w:t>Публичное акционерное общество «Транснефть»</w:t>
            </w: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E84489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5. Дата совершения операции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E84489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6. Вид сделки (операции)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E84489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7. Сумма сделки (операции)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8. Место заключения сделки (наименование организатора торговли или внебиржевой рынок)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9. Вид, категория (тип), серия ценной бумаги </w:t>
            </w: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ценными бумагами)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10. Полное фирменное наименование эмитента ценной бумаги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 </w:t>
            </w: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ценными бумагами)</w:t>
            </w:r>
          </w:p>
        </w:tc>
        <w:tc>
          <w:tcPr>
            <w:tcW w:w="4829" w:type="dxa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11. Государственный регистрационный номер выпуска ценной бумаги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 xml:space="preserve"> (указывается для сделок с ценными бумагами)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12. Цена одной ценной бумаги (указывается для всех сделок с ценными бумагами, кроме сделок </w:t>
            </w:r>
            <w:proofErr w:type="spellStart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репо</w:t>
            </w:r>
            <w:proofErr w:type="spellEnd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13. Цена покупки и продажи одной ценной бумаги по договору </w:t>
            </w:r>
            <w:proofErr w:type="spellStart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репо</w:t>
            </w:r>
            <w:proofErr w:type="spellEnd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 (для договоров </w:t>
            </w:r>
            <w:proofErr w:type="spellStart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репо</w:t>
            </w:r>
            <w:proofErr w:type="spellEnd"/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>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14. Количество ценных бумаг 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ценными бумагами)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15. Вид договора, являющегося производным финансовым инструментом 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производными финансовыми инструментами)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16. Наименование (обозначение) договора, являющегося производным финансовым инструментом, принятое у организатора торговли на рынке ценных бумаг 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производными финансовыми инструментами)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017B1C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17. Цена одного договора, являющегося производным финансовым инструментом </w:t>
            </w: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lastRenderedPageBreak/>
              <w:t xml:space="preserve">(размер премии по опциону) </w:t>
            </w:r>
          </w:p>
          <w:p w:rsidR="005F3AA3" w:rsidRPr="00DB316E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  <w:i/>
              </w:rPr>
            </w:pP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производными финансовыми инструментами)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lastRenderedPageBreak/>
              <w:t xml:space="preserve">18. Количество договоров, являющихся производными финансовыми инструментами </w:t>
            </w: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производными финансовыми инструментами)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  <w:tr w:rsidR="005F3AA3" w:rsidRPr="00E84489" w:rsidTr="00C853FA">
        <w:tc>
          <w:tcPr>
            <w:tcW w:w="4829" w:type="dxa"/>
            <w:vAlign w:val="bottom"/>
          </w:tcPr>
          <w:p w:rsidR="005F3AA3" w:rsidRPr="00E84489" w:rsidRDefault="005F3AA3" w:rsidP="00DB316E">
            <w:pPr>
              <w:pStyle w:val="3"/>
              <w:shd w:val="clear" w:color="auto" w:fill="auto"/>
              <w:spacing w:before="0" w:line="240" w:lineRule="auto"/>
              <w:ind w:left="100" w:firstLine="0"/>
              <w:jc w:val="both"/>
              <w:rPr>
                <w:rFonts w:ascii="Franklin Gothic Book" w:hAnsi="Franklin Gothic Book"/>
              </w:rPr>
            </w:pPr>
            <w:r w:rsidRPr="00E84489">
              <w:rPr>
                <w:rStyle w:val="9pt"/>
                <w:rFonts w:ascii="Franklin Gothic Book" w:hAnsi="Franklin Gothic Book"/>
                <w:b w:val="0"/>
                <w:sz w:val="22"/>
                <w:szCs w:val="22"/>
              </w:rPr>
              <w:t xml:space="preserve">19. Цена исполнения договора, являющегося производным финансовым инструментом </w:t>
            </w:r>
            <w:r w:rsidRPr="00DB316E">
              <w:rPr>
                <w:rStyle w:val="9pt"/>
                <w:rFonts w:ascii="Franklin Gothic Book" w:hAnsi="Franklin Gothic Book"/>
                <w:b w:val="0"/>
                <w:i/>
                <w:sz w:val="22"/>
                <w:szCs w:val="22"/>
              </w:rPr>
              <w:t>(указывается для сделок с производными финансовыми инструментами)</w:t>
            </w:r>
          </w:p>
        </w:tc>
        <w:tc>
          <w:tcPr>
            <w:tcW w:w="4829" w:type="dxa"/>
          </w:tcPr>
          <w:p w:rsidR="005F3AA3" w:rsidRPr="00E84489" w:rsidRDefault="005F3AA3" w:rsidP="00017B1C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Franklin Gothic Book" w:hAnsi="Franklin Gothic Book"/>
              </w:rPr>
            </w:pPr>
          </w:p>
        </w:tc>
      </w:tr>
    </w:tbl>
    <w:p w:rsidR="005F3AA3" w:rsidRPr="00E84489" w:rsidRDefault="005F3AA3" w:rsidP="005F3AA3">
      <w:pPr>
        <w:pStyle w:val="3"/>
        <w:shd w:val="clear" w:color="auto" w:fill="auto"/>
        <w:spacing w:before="0" w:line="240" w:lineRule="auto"/>
        <w:ind w:left="601" w:firstLine="0"/>
        <w:jc w:val="center"/>
        <w:rPr>
          <w:rFonts w:ascii="Franklin Gothic Book" w:hAnsi="Franklin Gothic Book"/>
        </w:rPr>
      </w:pPr>
    </w:p>
    <w:p w:rsidR="005F3AA3" w:rsidRPr="00E84489" w:rsidRDefault="005F3AA3" w:rsidP="005F3AA3">
      <w:pPr>
        <w:pStyle w:val="24"/>
        <w:shd w:val="clear" w:color="auto" w:fill="auto"/>
        <w:tabs>
          <w:tab w:val="right" w:pos="3644"/>
          <w:tab w:val="right" w:pos="6418"/>
          <w:tab w:val="right" w:pos="7335"/>
        </w:tabs>
        <w:spacing w:after="0" w:line="240" w:lineRule="auto"/>
        <w:ind w:left="618"/>
        <w:jc w:val="both"/>
        <w:rPr>
          <w:rFonts w:ascii="Franklin Gothic Book" w:hAnsi="Franklin Gothic Book"/>
          <w:b w:val="0"/>
          <w:sz w:val="22"/>
          <w:szCs w:val="22"/>
        </w:rPr>
      </w:pPr>
    </w:p>
    <w:p w:rsidR="005F3AA3" w:rsidRPr="00E84489" w:rsidRDefault="005F3AA3" w:rsidP="005F3AA3">
      <w:pPr>
        <w:pStyle w:val="24"/>
        <w:shd w:val="clear" w:color="auto" w:fill="auto"/>
        <w:tabs>
          <w:tab w:val="right" w:pos="3644"/>
          <w:tab w:val="right" w:pos="6418"/>
          <w:tab w:val="right" w:pos="7335"/>
        </w:tabs>
        <w:spacing w:after="0" w:line="240" w:lineRule="auto"/>
        <w:jc w:val="both"/>
        <w:rPr>
          <w:rFonts w:ascii="Franklin Gothic Book" w:hAnsi="Franklin Gothic Book"/>
          <w:b w:val="0"/>
          <w:sz w:val="22"/>
          <w:szCs w:val="22"/>
        </w:rPr>
      </w:pPr>
      <w:r w:rsidRPr="00E84489">
        <w:rPr>
          <w:rFonts w:ascii="Franklin Gothic Book" w:hAnsi="Franklin Gothic Book"/>
          <w:b w:val="0"/>
          <w:sz w:val="22"/>
          <w:szCs w:val="22"/>
        </w:rPr>
        <w:t xml:space="preserve">        _______________          _______________________________________</w:t>
      </w:r>
      <w:r w:rsidR="00E84489" w:rsidRPr="00E84489">
        <w:rPr>
          <w:rFonts w:ascii="Franklin Gothic Book" w:hAnsi="Franklin Gothic Book"/>
          <w:b w:val="0"/>
          <w:sz w:val="22"/>
          <w:szCs w:val="22"/>
        </w:rPr>
        <w:t>___________</w:t>
      </w:r>
      <w:r w:rsidRPr="00E84489">
        <w:rPr>
          <w:rFonts w:ascii="Franklin Gothic Book" w:hAnsi="Franklin Gothic Book"/>
          <w:b w:val="0"/>
          <w:sz w:val="22"/>
          <w:szCs w:val="22"/>
        </w:rPr>
        <w:t>____</w:t>
      </w:r>
    </w:p>
    <w:p w:rsidR="005F3AA3" w:rsidRPr="00E84489" w:rsidRDefault="005F3AA3" w:rsidP="005F3AA3">
      <w:pPr>
        <w:pStyle w:val="24"/>
        <w:shd w:val="clear" w:color="auto" w:fill="auto"/>
        <w:tabs>
          <w:tab w:val="right" w:pos="3644"/>
          <w:tab w:val="right" w:pos="6418"/>
          <w:tab w:val="right" w:pos="7335"/>
        </w:tabs>
        <w:spacing w:after="0" w:line="240" w:lineRule="auto"/>
        <w:ind w:left="618"/>
        <w:jc w:val="both"/>
        <w:rPr>
          <w:rFonts w:ascii="Franklin Gothic Book" w:hAnsi="Franklin Gothic Book"/>
          <w:b w:val="0"/>
          <w:sz w:val="22"/>
          <w:szCs w:val="22"/>
        </w:rPr>
      </w:pPr>
      <w:r w:rsidRPr="00E84489">
        <w:rPr>
          <w:rFonts w:ascii="Franklin Gothic Book" w:hAnsi="Franklin Gothic Book"/>
          <w:b w:val="0"/>
          <w:sz w:val="22"/>
          <w:szCs w:val="22"/>
        </w:rPr>
        <w:t xml:space="preserve">               (дата)                                             (подпись)</w:t>
      </w:r>
      <w:r w:rsidRPr="00E84489">
        <w:rPr>
          <w:rFonts w:ascii="Franklin Gothic Book" w:hAnsi="Franklin Gothic Book"/>
          <w:b w:val="0"/>
          <w:sz w:val="22"/>
          <w:szCs w:val="22"/>
        </w:rPr>
        <w:tab/>
      </w:r>
      <w:r w:rsidR="00E84489" w:rsidRPr="00E84489">
        <w:rPr>
          <w:rStyle w:val="ab"/>
          <w:rFonts w:ascii="Franklin Gothic Book" w:hAnsi="Franklin Gothic Book"/>
          <w:b w:val="0"/>
          <w:sz w:val="22"/>
          <w:szCs w:val="22"/>
        </w:rPr>
        <w:footnoteReference w:id="2"/>
      </w:r>
      <w:r w:rsidRPr="00E84489">
        <w:rPr>
          <w:rFonts w:ascii="Franklin Gothic Book" w:hAnsi="Franklin Gothic Book"/>
          <w:b w:val="0"/>
          <w:sz w:val="22"/>
          <w:szCs w:val="22"/>
        </w:rPr>
        <w:t xml:space="preserve">         (расшифровка </w:t>
      </w:r>
      <w:r w:rsidRPr="00E84489">
        <w:rPr>
          <w:rFonts w:ascii="Franklin Gothic Book" w:hAnsi="Franklin Gothic Book"/>
          <w:b w:val="0"/>
          <w:sz w:val="22"/>
          <w:szCs w:val="22"/>
        </w:rPr>
        <w:tab/>
        <w:t>подписи)</w:t>
      </w:r>
    </w:p>
    <w:p w:rsidR="005F3AA3" w:rsidRPr="00E84489" w:rsidRDefault="005F3AA3" w:rsidP="005F3AA3">
      <w:pPr>
        <w:pStyle w:val="22"/>
        <w:shd w:val="clear" w:color="auto" w:fill="auto"/>
        <w:spacing w:line="240" w:lineRule="auto"/>
        <w:ind w:left="620"/>
        <w:rPr>
          <w:rFonts w:ascii="Franklin Gothic Book" w:hAnsi="Franklin Gothic Book"/>
          <w:sz w:val="22"/>
          <w:szCs w:val="22"/>
        </w:rPr>
      </w:pPr>
    </w:p>
    <w:p w:rsidR="003B0774" w:rsidRDefault="003B0774"/>
    <w:sectPr w:rsidR="003B0774" w:rsidSect="005F3AA3">
      <w:headerReference w:type="default" r:id="rId8"/>
      <w:footerReference w:type="default" r:id="rId9"/>
      <w:pgSz w:w="11909" w:h="16838" w:code="9"/>
      <w:pgMar w:top="851" w:right="919" w:bottom="249" w:left="947" w:header="0" w:footer="8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A3" w:rsidRDefault="005F3AA3" w:rsidP="005F3AA3">
      <w:r>
        <w:separator/>
      </w:r>
    </w:p>
  </w:endnote>
  <w:endnote w:type="continuationSeparator" w:id="0">
    <w:p w:rsidR="005F3AA3" w:rsidRDefault="005F3AA3" w:rsidP="005F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073661"/>
      <w:docPartObj>
        <w:docPartGallery w:val="Page Numbers (Bottom of Page)"/>
        <w:docPartUnique/>
      </w:docPartObj>
    </w:sdtPr>
    <w:sdtEndPr/>
    <w:sdtContent>
      <w:p w:rsidR="001E4892" w:rsidRDefault="00E844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487">
          <w:rPr>
            <w:noProof/>
          </w:rPr>
          <w:t>2</w:t>
        </w:r>
        <w:r>
          <w:fldChar w:fldCharType="end"/>
        </w:r>
      </w:p>
    </w:sdtContent>
  </w:sdt>
  <w:p w:rsidR="001E4892" w:rsidRDefault="001E44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A3" w:rsidRDefault="005F3AA3" w:rsidP="005F3AA3">
      <w:r>
        <w:separator/>
      </w:r>
    </w:p>
  </w:footnote>
  <w:footnote w:type="continuationSeparator" w:id="0">
    <w:p w:rsidR="005F3AA3" w:rsidRDefault="005F3AA3" w:rsidP="005F3AA3">
      <w:r>
        <w:continuationSeparator/>
      </w:r>
    </w:p>
  </w:footnote>
  <w:footnote w:id="1">
    <w:p w:rsidR="00017B1C" w:rsidRPr="00DB316E" w:rsidRDefault="00017B1C" w:rsidP="00DB316E">
      <w:pPr>
        <w:widowControl/>
        <w:autoSpaceDE w:val="0"/>
        <w:autoSpaceDN w:val="0"/>
        <w:adjustRightInd w:val="0"/>
        <w:jc w:val="both"/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</w:pPr>
      <w:r>
        <w:rPr>
          <w:rStyle w:val="ab"/>
        </w:rPr>
        <w:footnoteRef/>
      </w:r>
      <w:r>
        <w:t xml:space="preserve"> </w:t>
      </w:r>
      <w:r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В одном уведомлении  можно указать сведения о нескольких совершенных </w:t>
      </w:r>
      <w:bookmarkStart w:id="0" w:name="_GoBack"/>
      <w:bookmarkEnd w:id="0"/>
      <w:r w:rsidR="001E4487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>инсайдером операциях</w:t>
      </w:r>
      <w:r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>. При этом условия, на которых совершена каждая операция, указываются отдельно.</w:t>
      </w:r>
    </w:p>
  </w:footnote>
  <w:footnote w:id="2">
    <w:p w:rsidR="00E84489" w:rsidRPr="00E84489" w:rsidRDefault="00E84489" w:rsidP="00E84489">
      <w:pPr>
        <w:widowControl/>
        <w:autoSpaceDE w:val="0"/>
        <w:autoSpaceDN w:val="0"/>
        <w:adjustRightInd w:val="0"/>
        <w:jc w:val="both"/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</w:pPr>
      <w:r>
        <w:rPr>
          <w:rStyle w:val="ab"/>
        </w:rPr>
        <w:footnoteRef/>
      </w:r>
      <w:r>
        <w:t xml:space="preserve"> </w:t>
      </w:r>
      <w:r w:rsidRPr="00E84489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В случае если уведомление направляется инсайдером - юридическим лицом, бумажный носитель уведомления должен быть скреплен печатью такого юридического лица </w:t>
      </w:r>
      <w:r w:rsidR="00017B1C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 </w:t>
      </w:r>
      <w:r w:rsidRPr="00E84489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на прошивке </w:t>
      </w:r>
      <w:r w:rsidR="00017B1C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(при наличии) </w:t>
      </w:r>
      <w:r w:rsidRPr="00E84489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>и заверен подписью уполномоченного лица такого юридического лица.</w:t>
      </w:r>
    </w:p>
    <w:p w:rsidR="00E84489" w:rsidRPr="00E84489" w:rsidRDefault="00E84489" w:rsidP="00E84489">
      <w:pPr>
        <w:widowControl/>
        <w:autoSpaceDE w:val="0"/>
        <w:autoSpaceDN w:val="0"/>
        <w:adjustRightInd w:val="0"/>
        <w:jc w:val="both"/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</w:pPr>
      <w:r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 xml:space="preserve">       </w:t>
      </w:r>
      <w:r w:rsidRPr="00E84489">
        <w:rPr>
          <w:rFonts w:ascii="Franklin Gothic Book" w:eastAsiaTheme="minorHAnsi" w:hAnsi="Franklin Gothic Book" w:cs="Franklin Gothic Book"/>
          <w:color w:val="auto"/>
          <w:sz w:val="16"/>
          <w:szCs w:val="16"/>
          <w:lang w:eastAsia="en-US" w:bidi="ar-SA"/>
        </w:rPr>
        <w:t>В случае если уведомление направляется инсайдером - физическим лицом, каждая страница бумажного носителя должна быть подписана таким физическим лицом.</w:t>
      </w:r>
    </w:p>
    <w:p w:rsidR="00E84489" w:rsidRDefault="00E84489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92" w:rsidRDefault="001E4487" w:rsidP="000A59EE">
    <w:pPr>
      <w:pStyle w:val="a4"/>
      <w:jc w:val="right"/>
      <w:rPr>
        <w:lang w:val="en-US"/>
      </w:rPr>
    </w:pPr>
  </w:p>
  <w:p w:rsidR="001E4892" w:rsidRDefault="001E4487" w:rsidP="000A59EE">
    <w:pPr>
      <w:pStyle w:val="a4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A3"/>
    <w:rsid w:val="00017B1C"/>
    <w:rsid w:val="001E4487"/>
    <w:rsid w:val="003B0774"/>
    <w:rsid w:val="005F3AA3"/>
    <w:rsid w:val="00DB316E"/>
    <w:rsid w:val="00E8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3A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3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21">
    <w:name w:val="Сноска (2)_"/>
    <w:basedOn w:val="a0"/>
    <w:link w:val="22"/>
    <w:rsid w:val="005F3AA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F3AA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5F3A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5F3A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Сноска (2)"/>
    <w:basedOn w:val="a"/>
    <w:link w:val="21"/>
    <w:rsid w:val="005F3AA3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24">
    <w:name w:val="Основной текст (2)"/>
    <w:basedOn w:val="a"/>
    <w:link w:val="23"/>
    <w:rsid w:val="005F3AA3"/>
    <w:pPr>
      <w:shd w:val="clear" w:color="auto" w:fill="FFFFFF"/>
      <w:spacing w:after="84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">
    <w:name w:val="Основной текст3"/>
    <w:basedOn w:val="a"/>
    <w:link w:val="a3"/>
    <w:rsid w:val="005F3AA3"/>
    <w:pPr>
      <w:shd w:val="clear" w:color="auto" w:fill="FFFFFF"/>
      <w:spacing w:before="840" w:line="302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5F3A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A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F3A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A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F3AA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8448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448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E8448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17B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B1C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3A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F3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21">
    <w:name w:val="Сноска (2)_"/>
    <w:basedOn w:val="a0"/>
    <w:link w:val="22"/>
    <w:rsid w:val="005F3AA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F3AA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5F3A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;Полужирный"/>
    <w:basedOn w:val="a3"/>
    <w:rsid w:val="005F3AA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Сноска (2)"/>
    <w:basedOn w:val="a"/>
    <w:link w:val="21"/>
    <w:rsid w:val="005F3AA3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24">
    <w:name w:val="Основной текст (2)"/>
    <w:basedOn w:val="a"/>
    <w:link w:val="23"/>
    <w:rsid w:val="005F3AA3"/>
    <w:pPr>
      <w:shd w:val="clear" w:color="auto" w:fill="FFFFFF"/>
      <w:spacing w:after="840"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3">
    <w:name w:val="Основной текст3"/>
    <w:basedOn w:val="a"/>
    <w:link w:val="a3"/>
    <w:rsid w:val="005F3AA3"/>
    <w:pPr>
      <w:shd w:val="clear" w:color="auto" w:fill="FFFFFF"/>
      <w:spacing w:before="840" w:line="302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5F3A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A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F3A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AA3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F3AA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8448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84489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E8448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17B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7B1C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DE42B-CDCA-4257-8CB2-E8BFF8D2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2018-05-22T07:06:00Z</cp:lastPrinted>
  <dcterms:created xsi:type="dcterms:W3CDTF">2018-06-09T12:04:00Z</dcterms:created>
  <dcterms:modified xsi:type="dcterms:W3CDTF">2018-06-09T12:04:00Z</dcterms:modified>
</cp:coreProperties>
</file>