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851"/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Прейскурант</w:t>
      </w:r>
      <w:r>
        <w:rPr>
          <w:rFonts w:ascii="Franklin Gothic Book" w:hAnsi="Franklin Gothic Book"/>
          <w:b/>
          <w:sz w:val="28"/>
          <w:szCs w:val="28"/>
        </w:rPr>
        <w:t xml:space="preserve"> ООО «ПТП»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>
        <w:rPr>
          <w:rFonts w:ascii="Franklin Gothic Book" w:hAnsi="Franklin Gothic Book"/>
          <w:b/>
          <w:sz w:val="28"/>
          <w:szCs w:val="28"/>
        </w:rPr>
        <w:t xml:space="preserve">на услуги, предоставляемые судам</w:t>
      </w:r>
      <w:r>
        <w:rPr>
          <w:rFonts w:ascii="Franklin Gothic Book" w:hAnsi="Franklin Gothic Book"/>
          <w:b/>
          <w:sz w:val="28"/>
          <w:szCs w:val="28"/>
        </w:rPr>
      </w:r>
      <w:r>
        <w:rPr>
          <w:rFonts w:ascii="Franklin Gothic Book" w:hAnsi="Franklin Gothic Book"/>
          <w:b/>
          <w:sz w:val="28"/>
          <w:szCs w:val="28"/>
        </w:rPr>
      </w:r>
    </w:p>
    <w:p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 </w:t>
      </w:r>
      <w:r>
        <w:rPr>
          <w:rFonts w:ascii="Franklin Gothic Book" w:hAnsi="Franklin Gothic Book"/>
          <w:b/>
          <w:sz w:val="28"/>
          <w:szCs w:val="28"/>
        </w:rPr>
        <w:t xml:space="preserve">с 01.01.</w:t>
      </w:r>
      <w:r>
        <w:rPr>
          <w:rFonts w:ascii="Franklin Gothic Book" w:hAnsi="Franklin Gothic Book"/>
          <w:b/>
          <w:sz w:val="28"/>
          <w:szCs w:val="28"/>
        </w:rPr>
        <w:t xml:space="preserve">202</w:t>
      </w:r>
      <w:r>
        <w:rPr>
          <w:rFonts w:ascii="Franklin Gothic Book" w:hAnsi="Franklin Gothic Book"/>
          <w:b/>
          <w:sz w:val="28"/>
          <w:szCs w:val="28"/>
        </w:rPr>
        <w:t xml:space="preserve">5</w:t>
      </w:r>
      <w:r>
        <w:rPr>
          <w:rFonts w:ascii="Franklin Gothic Book" w:hAnsi="Franklin Gothic Book"/>
          <w:b/>
          <w:sz w:val="28"/>
          <w:szCs w:val="28"/>
        </w:rPr>
      </w:r>
      <w:r>
        <w:rPr>
          <w:rFonts w:ascii="Franklin Gothic Book" w:hAnsi="Franklin Gothic Book"/>
          <w:b/>
          <w:sz w:val="28"/>
          <w:szCs w:val="28"/>
        </w:rPr>
      </w:r>
    </w:p>
    <w:tbl>
      <w:tblPr>
        <w:tblStyle w:val="839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1701"/>
        <w:gridCol w:w="4258"/>
      </w:tblGrid>
      <w:tr>
        <w:tblPrEx/>
        <w:trPr>
          <w:jc w:val="center"/>
          <w:trHeight w:val="739"/>
        </w:trPr>
        <w:tc>
          <w:tcPr>
            <w:tcW w:w="4531" w:type="dxa"/>
            <w:vAlign w:val="center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Наименование услуги</w: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Единица измерения</w: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</w:r>
          </w:p>
        </w:tc>
        <w:tc>
          <w:tcPr>
            <w:tcW w:w="4258" w:type="dxa"/>
            <w:vAlign w:val="center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Тариф (без НДС), руб. РФ.</w: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</w:r>
          </w:p>
        </w:tc>
      </w:tr>
      <w:tr>
        <w:tblPrEx/>
        <w:trPr>
          <w:jc w:val="center"/>
          <w:trHeight w:val="1181"/>
        </w:trPr>
        <w:tc>
          <w:tcPr>
            <w:tcW w:w="4531" w:type="dxa"/>
            <w:vAlign w:val="center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Швартовные операци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и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*</w:t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 GT</w:t>
            </w:r>
            <w:r>
              <w:rPr>
                <w:rFonts w:ascii="Franklin Gothic Book" w:hAnsi="Franklin Gothic Book"/>
              </w:rPr>
              <w:t xml:space="preserve">*</w:t>
            </w:r>
            <w:r>
              <w:rPr>
                <w:rFonts w:ascii="Franklin Gothic Book" w:hAnsi="Franklin Gothic Book"/>
              </w:rPr>
              <w:t xml:space="preserve">*</w: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</w:r>
          </w:p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за 1 судозаход</w: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</w:r>
          </w:p>
          <w:p>
            <w:pPr>
              <w:jc w:val="center"/>
              <w:rPr>
                <w:rFonts w:ascii="Franklin Gothic Book" w:hAnsi="Franklin Gothic Book"/>
                <w:i/>
                <w:sz w:val="24"/>
                <w:szCs w:val="24"/>
              </w:rPr>
            </w:pPr>
            <w:r>
              <w:rPr>
                <w:rFonts w:ascii="Franklin Gothic Book" w:hAnsi="Franklin Gothic Book"/>
                <w:i/>
                <w:sz w:val="24"/>
                <w:szCs w:val="24"/>
              </w:rPr>
            </w:r>
            <w:r>
              <w:rPr>
                <w:rFonts w:ascii="Franklin Gothic Book" w:hAnsi="Franklin Gothic Book"/>
                <w:i/>
                <w:sz w:val="24"/>
                <w:szCs w:val="24"/>
              </w:rPr>
            </w:r>
            <w:r>
              <w:rPr>
                <w:rFonts w:ascii="Franklin Gothic Book" w:hAnsi="Franklin Gothic Book"/>
                <w:i/>
                <w:sz w:val="24"/>
                <w:szCs w:val="24"/>
              </w:rPr>
            </w:r>
          </w:p>
        </w:tc>
        <w:tc>
          <w:tcPr>
            <w:tcW w:w="4258" w:type="dxa"/>
            <w:textDirection w:val="lrTb"/>
            <w:noWrap w:val="false"/>
          </w:tcPr>
          <w:p>
            <w:pPr>
              <w:jc w:val="both"/>
              <w:tabs>
                <w:tab w:val="left" w:pos="567" w:leader="none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в период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с 01 декабря по 30 апреля –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79,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65;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</w:p>
          <w:p>
            <w:pPr>
              <w:jc w:val="both"/>
              <w:tabs>
                <w:tab w:val="left" w:pos="567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  <w:p>
            <w:pPr>
              <w:ind w:firstLine="35"/>
              <w:jc w:val="both"/>
              <w:tabs>
                <w:tab w:val="left" w:pos="35" w:leader="none"/>
              </w:tabs>
              <w:rPr>
                <w:rFonts w:ascii="Franklin Gothic Book" w:hAnsi="Franklin Gothic Book"/>
                <w:sz w:val="24"/>
                <w:szCs w:val="24"/>
                <w:highlight w:val="yellow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в период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 01 мая по 30 ноября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–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66,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12</w:t>
            </w:r>
            <w:r>
              <w:rPr>
                <w:rFonts w:ascii="Franklin Gothic Book" w:hAnsi="Franklin Gothic Book"/>
                <w:sz w:val="24"/>
                <w:szCs w:val="24"/>
                <w:highlight w:val="yellow"/>
              </w:rPr>
            </w:r>
            <w:r>
              <w:rPr>
                <w:rFonts w:ascii="Franklin Gothic Book" w:hAnsi="Franklin Gothic Book"/>
                <w:sz w:val="24"/>
                <w:szCs w:val="24"/>
                <w:highlight w:val="yellow"/>
              </w:rPr>
            </w:r>
          </w:p>
        </w:tc>
      </w:tr>
      <w:tr>
        <w:tblPrEx/>
        <w:trPr>
          <w:jc w:val="center"/>
          <w:trHeight w:val="1244"/>
        </w:trPr>
        <w:tc>
          <w:tcPr>
            <w:tcW w:w="4531" w:type="dxa"/>
            <w:vAlign w:val="center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Сервисные услуги</w:t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 судозаход</w: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</w:r>
          </w:p>
        </w:tc>
        <w:tc>
          <w:tcPr>
            <w:tcW w:w="4258" w:type="dxa"/>
            <w:vAlign w:val="center"/>
            <w:textDirection w:val="lrTb"/>
            <w:noWrap w:val="false"/>
          </w:tcPr>
          <w:p>
            <w:pPr>
              <w:jc w:val="both"/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для агентов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/кспедитор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ов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/сюрвейер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ов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/шипчандлер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ов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-</w:t>
            </w: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4 329,01</w:t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4531" w:type="dxa"/>
            <w:vAlign w:val="center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Услуги по непроизводственной стоянке судна причалов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П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орта №1,2,3,4,8,9</w:t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 (один) погонный метр длины причала в час</w: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</w:r>
          </w:p>
        </w:tc>
        <w:tc>
          <w:tcPr>
            <w:tcW w:w="42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100,21</w: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vAlign w:val="center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  <w:t xml:space="preserve">Сервисные услуги с учетом обеспечения бункеровки маслом </w:t>
            </w: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  <w:br/>
              <w:t xml:space="preserve">(рабочий день)</w:t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  <w:color w:val="000000"/>
              </w:rPr>
              <w:t xml:space="preserve">1 юрлицо/ 1 судозаход</w: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b/>
                <w:bCs/>
                <w:color w:val="000000"/>
              </w:rPr>
              <w:t xml:space="preserve">21 248,88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vAlign w:val="center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  <w:t xml:space="preserve">Сервисные услуги с учетом обеспечения бункеровки маслом </w:t>
            </w: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  <w:br/>
              <w:t xml:space="preserve">(выходной день)</w:t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  <w:color w:val="000000"/>
              </w:rPr>
              <w:t xml:space="preserve">1 юрлицо/ 1 судозаход</w: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b/>
                <w:bCs/>
                <w:color w:val="000000"/>
              </w:rPr>
              <w:t xml:space="preserve">33 194,70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vAlign w:val="center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  <w:t xml:space="preserve">Доставка комиссии на рейд (буксиром мощностью до 5000 л.с.)</w:t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  <w:color w:val="000000"/>
              </w:rPr>
              <w:t xml:space="preserve">1 час/буксиром </w:t>
            </w:r>
            <w:r>
              <w:rPr>
                <w:rFonts w:ascii="Franklin Gothic Book" w:hAnsi="Franklin Gothic Book" w:cs="Calibri"/>
                <w:color w:val="000000"/>
              </w:rPr>
              <w:br/>
              <w:t xml:space="preserve">до 5000 л.с.</w: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b/>
                <w:bCs/>
                <w:color w:val="000000"/>
              </w:rPr>
              <w:t xml:space="preserve">68 822,06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vAlign w:val="center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  <w:t xml:space="preserve">Доставка комиссии на рейд (буксиром мощностью более 5000 л.с.)</w:t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  <w:color w:val="000000"/>
              </w:rPr>
              <w:t xml:space="preserve">1 час/ буксиром </w:t>
            </w:r>
            <w:r>
              <w:rPr>
                <w:rFonts w:ascii="Franklin Gothic Book" w:hAnsi="Franklin Gothic Book" w:cs="Calibri"/>
                <w:color w:val="000000"/>
              </w:rPr>
              <w:br/>
              <w:t xml:space="preserve">более 5000 л.с.</w: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b/>
                <w:bCs/>
                <w:color w:val="000000"/>
              </w:rPr>
              <w:t xml:space="preserve">92 124,64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vAlign w:val="center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  <w:t xml:space="preserve">Проведение веттинг инспекции судна</w:t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  <w:color w:val="000000"/>
              </w:rPr>
              <w:t xml:space="preserve">1 инспекция </w: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 w:cs="Calibri"/>
                <w:b/>
                <w:bCs/>
                <w:color w:val="000000"/>
              </w:rPr>
            </w:pPr>
            <w:r>
              <w:rPr>
                <w:rFonts w:ascii="Franklin Gothic Book" w:hAnsi="Franklin Gothic Book" w:cs="Calibri"/>
                <w:b/>
                <w:bCs/>
                <w:color w:val="000000"/>
              </w:rPr>
            </w:r>
            <w:r>
              <w:rPr>
                <w:rFonts w:ascii="Franklin Gothic Book" w:hAnsi="Franklin Gothic Book" w:cs="Calibri"/>
                <w:b/>
                <w:bCs/>
                <w:color w:val="000000"/>
              </w:rPr>
            </w:r>
            <w:r>
              <w:rPr>
                <w:rFonts w:ascii="Franklin Gothic Book" w:hAnsi="Franklin Gothic Book" w:cs="Calibri"/>
                <w:b/>
                <w:bCs/>
                <w:color w:val="000000"/>
              </w:rPr>
            </w:r>
          </w:p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 w:cs="Calibri"/>
                <w:b/>
                <w:bCs/>
                <w:color w:val="000000"/>
              </w:rPr>
            </w:pPr>
            <w:r>
              <w:rPr>
                <w:rFonts w:ascii="Franklin Gothic Book" w:hAnsi="Franklin Gothic Book" w:cs="Calibri"/>
                <w:b/>
                <w:bCs/>
                <w:color w:val="000000"/>
              </w:rPr>
              <w:t xml:space="preserve">110 702,38</w:t>
            </w:r>
            <w:r>
              <w:rPr>
                <w:rFonts w:ascii="Franklin Gothic Book" w:hAnsi="Franklin Gothic Book" w:cs="Calibri"/>
                <w:b/>
                <w:bCs/>
                <w:color w:val="000000"/>
              </w:rPr>
            </w:r>
            <w:r>
              <w:rPr>
                <w:rFonts w:ascii="Franklin Gothic Book" w:hAnsi="Franklin Gothic Book" w:cs="Calibri"/>
                <w:b/>
                <w:bCs/>
                <w:color w:val="000000"/>
              </w:rPr>
            </w:r>
          </w:p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vAlign w:val="bottom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  <w:t xml:space="preserve">Услуги, связанные с управлением морскими рисками, включая предварительную оценку безопасности танкеров, планируемых для обработки на Терминале НМТП</w:t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  <w:color w:val="000000"/>
              </w:rPr>
              <w:t xml:space="preserve">1 оценка судна</w: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b/>
                <w:bCs/>
                <w:color w:val="000000"/>
              </w:rPr>
              <w:t xml:space="preserve">4 157,40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1" w:type="dxa"/>
            <w:vAlign w:val="bottom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  <w:t xml:space="preserve">Услуги по предоставлению фланцевых переходников</w:t>
            </w: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  <w:br/>
              <w:t xml:space="preserve">для соединения стендера с судовым </w:t>
            </w: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  <w:t xml:space="preserve">манифольдом</w:t>
            </w:r>
            <w:r>
              <w:rPr>
                <w:rFonts w:ascii="Franklin Gothic Book" w:hAnsi="Franklin Gothic Book"/>
                <w:sz w:val="24"/>
                <w:szCs w:val="24"/>
              </w:rPr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 w:cs="Calibri"/>
                <w:color w:val="000000"/>
              </w:rPr>
              <w:t xml:space="preserve">1 юрлицо/ 1 судозаход</w: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b/>
                <w:bCs/>
                <w:color w:val="000000"/>
              </w:rPr>
              <w:t xml:space="preserve">5 933,51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1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900" w:leader="none"/>
              </w:tabs>
              <w:rPr>
                <w:rFonts w:ascii="Franklin Gothic Book" w:hAnsi="Franklin Gothic Book" w:cs="Calibri"/>
                <w:color w:val="000000"/>
                <w:sz w:val="24"/>
                <w:szCs w:val="24"/>
              </w:rPr>
            </w:pP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</w: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  <w:t xml:space="preserve">Услуги по подаче, уборке и эксплуатации трапа-сходни</w:t>
            </w: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</w:r>
            <w:r>
              <w:rPr>
                <w:rFonts w:ascii="Franklin Gothic Book" w:hAnsi="Franklin Gothic Book" w:cs="Calibri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 xml:space="preserve">1 сутки</w:t>
            </w:r>
            <w:r>
              <w:rPr>
                <w:rFonts w:ascii="Franklin Gothic Book" w:hAnsi="Franklin Gothic Book" w:cs="Calibri"/>
                <w:color w:val="000000"/>
              </w:rPr>
            </w:r>
            <w:r>
              <w:rPr>
                <w:rFonts w:ascii="Franklin Gothic Book" w:hAnsi="Franklin Gothic Book" w:cs="Calibri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900" w:leader="none"/>
              </w:tabs>
              <w:rPr>
                <w:rFonts w:ascii="Franklin Gothic Book" w:hAnsi="Franklin Gothic Book" w:cs="Calibri"/>
                <w:b/>
                <w:bCs/>
                <w:color w:val="000000"/>
              </w:rPr>
            </w:pPr>
            <w:r>
              <w:rPr>
                <w:rFonts w:ascii="Franklin Gothic Book" w:hAnsi="Franklin Gothic Book" w:cs="Calibri"/>
                <w:b/>
                <w:bCs/>
                <w:color w:val="000000"/>
              </w:rPr>
              <w:t xml:space="preserve">45 300,00</w:t>
            </w:r>
            <w:r>
              <w:rPr>
                <w:rFonts w:ascii="Franklin Gothic Book" w:hAnsi="Franklin Gothic Book" w:cs="Calibri"/>
                <w:b/>
                <w:bCs/>
                <w:color w:val="000000"/>
              </w:rPr>
            </w:r>
            <w:r>
              <w:rPr>
                <w:rFonts w:ascii="Franklin Gothic Book" w:hAnsi="Franklin Gothic Book" w:cs="Calibri"/>
                <w:b/>
                <w:bCs/>
                <w:color w:val="000000"/>
              </w:rPr>
            </w:r>
          </w:p>
        </w:tc>
      </w:tr>
    </w:tbl>
    <w:p>
      <w:pPr>
        <w:tabs>
          <w:tab w:val="left" w:pos="900" w:leader="none"/>
        </w:tabs>
        <w:rPr>
          <w:rFonts w:ascii="Franklin Gothic Book" w:hAnsi="Franklin Gothic Book"/>
          <w:bCs/>
          <w:i/>
        </w:rPr>
      </w:pPr>
      <w:r>
        <w:rPr>
          <w:rFonts w:ascii="Franklin Gothic Book" w:hAnsi="Franklin Gothic Book"/>
          <w:i/>
        </w:rPr>
        <w:t xml:space="preserve">*</w:t>
      </w:r>
      <w:r>
        <w:rPr>
          <w:rFonts w:ascii="Franklin Gothic Book" w:hAnsi="Franklin Gothic Book"/>
          <w:i/>
        </w:rPr>
        <w:t xml:space="preserve"> В стоимость Швартовных операций включены все операции (швартовки, отшвартовки, перешвартовки, перетяжки) без ограничения их общего количества с Судном Заказчика, в рамках одного судозахода в пределах терминала Порта</w:t>
      </w:r>
      <w:r>
        <w:rPr>
          <w:rFonts w:ascii="Franklin Gothic Book" w:hAnsi="Franklin Gothic Book"/>
          <w:i/>
        </w:rPr>
      </w:r>
    </w:p>
    <w:p>
      <w:pPr>
        <w:tabs>
          <w:tab w:val="left" w:pos="900" w:leader="none"/>
        </w:tabs>
        <w:rPr>
          <w:rFonts w:ascii="Franklin Gothic Book" w:hAnsi="Franklin Gothic Book"/>
          <w:bCs/>
          <w:i/>
        </w:rPr>
      </w:pPr>
      <w:r>
        <w:rPr>
          <w:rFonts w:ascii="Franklin Gothic Book" w:hAnsi="Franklin Gothic Book"/>
          <w:i/>
        </w:rPr>
      </w:r>
      <w:r>
        <w:rPr>
          <w:rFonts w:ascii="Franklin Gothic Book" w:hAnsi="Franklin Gothic Book"/>
          <w:i/>
        </w:rPr>
        <w:t xml:space="preserve">**</w:t>
      </w:r>
      <w:r>
        <w:rPr>
          <w:rFonts w:ascii="Franklin Gothic Book" w:hAnsi="Franklin Gothic Book"/>
          <w:i/>
        </w:rPr>
        <w:t xml:space="preserve">GT -вместимость судна, вычисляемая на основе данных обмера внутренних помещений судна</w:t>
      </w:r>
      <w:r>
        <w:rPr>
          <w:rFonts w:ascii="Franklin Gothic Book" w:hAnsi="Franklin Gothic Book"/>
          <w:i/>
        </w:rPr>
      </w:r>
      <w:r/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Franklin Gothic Book">
    <w:panose1 w:val="020B0603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5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5"/>
    <w:link w:val="685"/>
    <w:uiPriority w:val="99"/>
  </w:style>
  <w:style w:type="paragraph" w:styleId="687">
    <w:name w:val="Footer"/>
    <w:basedOn w:val="834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5"/>
    <w:link w:val="687"/>
    <w:uiPriority w:val="99"/>
  </w:style>
  <w:style w:type="paragraph" w:styleId="689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table" w:styleId="839">
    <w:name w:val="Table Grid"/>
    <w:basedOn w:val="83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7</cp:revision>
  <dcterms:created xsi:type="dcterms:W3CDTF">2021-12-06T13:54:00Z</dcterms:created>
  <dcterms:modified xsi:type="dcterms:W3CDTF">2024-12-27T11:35:25Z</dcterms:modified>
</cp:coreProperties>
</file>