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BB3" w:rsidRPr="00403BB3" w:rsidRDefault="00403BB3" w:rsidP="00403BB3">
      <w:pPr>
        <w:ind w:right="54"/>
        <w:jc w:val="right"/>
        <w:rPr>
          <w:rFonts w:ascii="Franklin Gothic Book" w:hAnsi="Franklin Gothic Book"/>
          <w:b/>
        </w:rPr>
      </w:pPr>
      <w:r w:rsidRPr="00403BB3">
        <w:rPr>
          <w:rFonts w:ascii="Franklin Gothic Book" w:hAnsi="Franklin Gothic Book"/>
          <w:b/>
        </w:rPr>
        <w:t xml:space="preserve">УТВЕРЖДАЮ </w:t>
      </w:r>
    </w:p>
    <w:p w:rsidR="00403BB3" w:rsidRPr="00403BB3" w:rsidRDefault="00403BB3" w:rsidP="00403BB3">
      <w:pPr>
        <w:ind w:right="54"/>
        <w:jc w:val="right"/>
        <w:rPr>
          <w:rFonts w:ascii="Franklin Gothic Book" w:hAnsi="Franklin Gothic Book"/>
          <w:b/>
        </w:rPr>
      </w:pPr>
      <w:r w:rsidRPr="00403BB3">
        <w:rPr>
          <w:rFonts w:ascii="Franklin Gothic Book" w:hAnsi="Franklin Gothic Book"/>
          <w:b/>
        </w:rPr>
        <w:t>Председатель комиссии по осуществлению закупок</w:t>
      </w:r>
    </w:p>
    <w:p w:rsidR="00403BB3" w:rsidRPr="00403BB3" w:rsidRDefault="00403BB3" w:rsidP="00403BB3">
      <w:pPr>
        <w:ind w:right="54"/>
        <w:jc w:val="right"/>
        <w:rPr>
          <w:rFonts w:ascii="Franklin Gothic Book" w:hAnsi="Franklin Gothic Book"/>
          <w:b/>
        </w:rPr>
      </w:pPr>
      <w:r w:rsidRPr="00403BB3">
        <w:rPr>
          <w:rFonts w:ascii="Franklin Gothic Book" w:hAnsi="Franklin Gothic Book"/>
          <w:b/>
        </w:rPr>
        <w:t>______________ С.Х. Батов</w:t>
      </w:r>
    </w:p>
    <w:p w:rsidR="00294738" w:rsidRDefault="00294738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C00584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756CA6" w:rsidRDefault="00756CA6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6D4276" w:rsidRPr="00C00584" w:rsidRDefault="006D4276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735"/>
        <w:gridCol w:w="4729"/>
      </w:tblGrid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684" w:type="dxa"/>
            <w:hideMark/>
          </w:tcPr>
          <w:p w:rsidR="005A1F97" w:rsidRPr="00291CB4" w:rsidRDefault="00C348D6" w:rsidP="001A187C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1A187C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684" w:type="dxa"/>
            <w:shd w:val="clear" w:color="auto" w:fill="auto"/>
            <w:hideMark/>
          </w:tcPr>
          <w:p w:rsidR="004417BD" w:rsidRPr="006C0FEB" w:rsidRDefault="00D4750D" w:rsidP="0016150E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6C0FEB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403BB3">
              <w:rPr>
                <w:rFonts w:ascii="Franklin Gothic Book" w:eastAsiaTheme="minorHAnsi" w:hAnsi="Franklin Gothic Book" w:cs="Franklin Gothic Book"/>
                <w:lang w:eastAsia="en-US"/>
              </w:rPr>
              <w:t>35</w:t>
            </w:r>
            <w:r w:rsidR="0016150E">
              <w:rPr>
                <w:rFonts w:ascii="Franklin Gothic Book" w:eastAsiaTheme="minorHAnsi" w:hAnsi="Franklin Gothic Book" w:cs="Franklin Gothic Book"/>
                <w:lang w:eastAsia="en-US"/>
              </w:rPr>
              <w:t>2</w:t>
            </w:r>
            <w:r w:rsidR="00403BB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9E6C86">
              <w:rPr>
                <w:rFonts w:ascii="Franklin Gothic Book" w:hAnsi="Franklin Gothic Book"/>
              </w:rPr>
              <w:t>Оказание консультационных услуг относительно учреждения ООО и государственной регистрации юр. лица</w:t>
            </w:r>
            <w:r w:rsidR="00403BB3">
              <w:rPr>
                <w:rFonts w:ascii="Franklin Gothic Book" w:eastAsiaTheme="minorHAnsi" w:hAnsi="Franklin Gothic Book" w:cs="Franklin Gothic Book"/>
                <w:lang w:eastAsia="en-US"/>
              </w:rPr>
              <w:t>.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684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84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84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684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84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684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684" w:type="dxa"/>
            <w:shd w:val="clear" w:color="auto" w:fill="auto"/>
            <w:hideMark/>
          </w:tcPr>
          <w:p w:rsidR="005A1F97" w:rsidRPr="00AC2804" w:rsidRDefault="00B12976" w:rsidP="003B3335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84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A06412" w:rsidRPr="00C00584" w:rsidTr="00A06412">
        <w:trPr>
          <w:tblCellSpacing w:w="15" w:type="dxa"/>
        </w:trPr>
        <w:tc>
          <w:tcPr>
            <w:tcW w:w="9404" w:type="dxa"/>
            <w:gridSpan w:val="2"/>
          </w:tcPr>
          <w:p w:rsidR="00A06412" w:rsidRPr="00675A65" w:rsidRDefault="00A06412" w:rsidP="00B7269F">
            <w:pPr>
              <w:rPr>
                <w:rFonts w:ascii="Franklin Gothic Book" w:hAnsi="Franklin Gothic Book"/>
                <w:b/>
              </w:rPr>
            </w:pPr>
            <w:r w:rsidRPr="00675A65">
              <w:rPr>
                <w:rFonts w:ascii="Franklin Gothic Book" w:hAnsi="Franklin Gothic Book"/>
                <w:b/>
              </w:rPr>
              <w:t>Информация о предмете договора:</w:t>
            </w:r>
          </w:p>
        </w:tc>
      </w:tr>
      <w:tr w:rsidR="00A06412" w:rsidRPr="00C00584" w:rsidTr="00A06412">
        <w:trPr>
          <w:tblCellSpacing w:w="15" w:type="dxa"/>
        </w:trPr>
        <w:tc>
          <w:tcPr>
            <w:tcW w:w="9404" w:type="dxa"/>
            <w:gridSpan w:val="2"/>
          </w:tcPr>
          <w:p w:rsidR="00A06412" w:rsidRPr="00A06412" w:rsidRDefault="00A06412" w:rsidP="00A06412">
            <w:pPr>
              <w:shd w:val="clear" w:color="auto" w:fill="FFFFFF"/>
              <w:tabs>
                <w:tab w:val="left" w:pos="1258"/>
                <w:tab w:val="left" w:pos="10348"/>
              </w:tabs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06412">
              <w:rPr>
                <w:rFonts w:ascii="Franklin Gothic Book" w:hAnsi="Franklin Gothic Book"/>
                <w:b/>
                <w:color w:val="000000"/>
              </w:rPr>
              <w:lastRenderedPageBreak/>
              <w:t>Лот №1</w:t>
            </w:r>
          </w:p>
        </w:tc>
      </w:tr>
      <w:tr w:rsidR="00A06412" w:rsidRPr="00C00584" w:rsidTr="00A06412">
        <w:trPr>
          <w:tblCellSpacing w:w="15" w:type="dxa"/>
        </w:trPr>
        <w:tc>
          <w:tcPr>
            <w:tcW w:w="9404" w:type="dxa"/>
            <w:gridSpan w:val="2"/>
          </w:tcPr>
          <w:tbl>
            <w:tblPr>
              <w:tblW w:w="9206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394"/>
              <w:gridCol w:w="1843"/>
            </w:tblGrid>
            <w:tr w:rsidR="00A06412" w:rsidRPr="00C6369D" w:rsidTr="00B7269F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6412" w:rsidRPr="00C6369D" w:rsidRDefault="00A0641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6412" w:rsidRPr="00C6369D" w:rsidRDefault="00A0641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6412" w:rsidRPr="00C6369D" w:rsidRDefault="00A0641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412" w:rsidRPr="00C6369D" w:rsidRDefault="00D07EEF" w:rsidP="00AC6D19">
                  <w:pPr>
                    <w:ind w:right="224"/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услуг, ед.</w:t>
                  </w:r>
                </w:p>
              </w:tc>
            </w:tr>
            <w:tr w:rsidR="00103B62" w:rsidRPr="00C6369D" w:rsidTr="00103B62">
              <w:trPr>
                <w:trHeight w:val="516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03B62" w:rsidRPr="00C6369D" w:rsidRDefault="0016150E" w:rsidP="0016150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</w:t>
                  </w:r>
                  <w:r w:rsidR="00D07EEF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90</w:t>
                  </w:r>
                  <w:r w:rsidR="00D07EEF">
                    <w:rPr>
                      <w:rFonts w:ascii="Franklin Gothic Book" w:hAnsi="Franklin Gothic Book"/>
                    </w:rPr>
                    <w:t>.1</w:t>
                  </w:r>
                  <w:r>
                    <w:rPr>
                      <w:rFonts w:ascii="Franklin Gothic Book" w:hAnsi="Franklin Gothic Book"/>
                    </w:rPr>
                    <w:t>2.122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03B62" w:rsidRPr="00C6369D" w:rsidRDefault="0016150E" w:rsidP="0016150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</w:t>
                  </w:r>
                  <w:r w:rsidR="00D07EEF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9</w:t>
                  </w:r>
                  <w:r w:rsidR="00D07EEF">
                    <w:rPr>
                      <w:rFonts w:ascii="Franklin Gothic Book" w:hAnsi="Franklin Gothic Book"/>
                    </w:rPr>
                    <w:t>0</w:t>
                  </w:r>
                  <w:r>
                    <w:rPr>
                      <w:rFonts w:ascii="Franklin Gothic Book" w:hAnsi="Franklin Gothic Book"/>
                    </w:rPr>
                    <w:t>.22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3B62" w:rsidRPr="00103B62" w:rsidRDefault="00B12976" w:rsidP="0016150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О</w:t>
                  </w:r>
                  <w:r w:rsidR="0016150E">
                    <w:rPr>
                      <w:rFonts w:ascii="Franklin Gothic Book" w:hAnsi="Franklin Gothic Book"/>
                    </w:rPr>
                    <w:t>казание консультационных услуг относительно учреждения ООО и государственной регистрации юр.</w:t>
                  </w:r>
                  <w:r w:rsidR="009E6C86">
                    <w:rPr>
                      <w:rFonts w:ascii="Franklin Gothic Book" w:hAnsi="Franklin Gothic Book"/>
                    </w:rPr>
                    <w:t xml:space="preserve"> </w:t>
                  </w:r>
                  <w:r w:rsidR="0016150E">
                    <w:rPr>
                      <w:rFonts w:ascii="Franklin Gothic Book" w:hAnsi="Franklin Gothic Book"/>
                    </w:rPr>
                    <w:t>лица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03B62" w:rsidRPr="00AE63AF" w:rsidRDefault="001A187C" w:rsidP="00103B62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A06412" w:rsidRPr="001271C2" w:rsidRDefault="00A06412" w:rsidP="001271C2">
            <w:pPr>
              <w:shd w:val="clear" w:color="auto" w:fill="FFFFFF"/>
              <w:tabs>
                <w:tab w:val="left" w:pos="1258"/>
                <w:tab w:val="left" w:pos="10348"/>
              </w:tabs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1D05E0" w:rsidRPr="00C00584" w:rsidTr="00D07EEF">
        <w:trPr>
          <w:tblCellSpacing w:w="15" w:type="dxa"/>
        </w:trPr>
        <w:tc>
          <w:tcPr>
            <w:tcW w:w="4690" w:type="dxa"/>
            <w:shd w:val="clear" w:color="auto" w:fill="auto"/>
          </w:tcPr>
          <w:p w:rsidR="001D05E0" w:rsidRPr="00C00584" w:rsidRDefault="001D05E0" w:rsidP="00B00146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684" w:type="dxa"/>
            <w:shd w:val="clear" w:color="auto" w:fill="auto"/>
          </w:tcPr>
          <w:p w:rsidR="00294738" w:rsidRPr="009E6C86" w:rsidRDefault="001D05E0" w:rsidP="00294738">
            <w:pPr>
              <w:jc w:val="both"/>
              <w:rPr>
                <w:rFonts w:ascii="Franklin Gothic Book" w:hAnsi="Franklin Gothic Book"/>
              </w:rPr>
            </w:pPr>
            <w:r w:rsidRPr="007B4D7B">
              <w:rPr>
                <w:rFonts w:ascii="Franklin Gothic Book" w:hAnsi="Franklin Gothic Book"/>
              </w:rPr>
              <w:t xml:space="preserve">П. </w:t>
            </w:r>
            <w:r w:rsidR="00294738" w:rsidRPr="009E6C86">
              <w:rPr>
                <w:rFonts w:ascii="Franklin Gothic Book" w:hAnsi="Franklin Gothic Book"/>
              </w:rPr>
              <w:t>62.2.</w:t>
            </w:r>
            <w:r w:rsidR="00395655" w:rsidRPr="009E6C86">
              <w:rPr>
                <w:rFonts w:ascii="Franklin Gothic Book" w:hAnsi="Franklin Gothic Book"/>
              </w:rPr>
              <w:t>34</w:t>
            </w:r>
            <w:r w:rsidR="00294738" w:rsidRPr="009E6C86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1D05E0" w:rsidRPr="009E6C86" w:rsidRDefault="00294738" w:rsidP="00294738">
            <w:pPr>
              <w:jc w:val="both"/>
              <w:rPr>
                <w:rFonts w:ascii="Franklin Gothic Book" w:hAnsi="Franklin Gothic Book"/>
              </w:rPr>
            </w:pPr>
            <w:r w:rsidRPr="009E6C86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</w:t>
            </w:r>
            <w:r w:rsidR="001D05E0" w:rsidRPr="009E6C86">
              <w:rPr>
                <w:rFonts w:ascii="Franklin Gothic Book" w:hAnsi="Franklin Gothic Book"/>
              </w:rPr>
              <w:t>:</w:t>
            </w:r>
          </w:p>
          <w:p w:rsidR="00395655" w:rsidRPr="009E6C86" w:rsidRDefault="00591CD9" w:rsidP="00395655">
            <w:pPr>
              <w:widowControl w:val="0"/>
              <w:tabs>
                <w:tab w:val="left" w:pos="1276"/>
                <w:tab w:val="num" w:pos="1418"/>
              </w:tabs>
              <w:autoSpaceDE w:val="0"/>
              <w:autoSpaceDN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hAnsi="Franklin Gothic Book"/>
              </w:rPr>
              <w:t>62.2.34</w:t>
            </w:r>
            <w:r w:rsidR="001A187C" w:rsidRPr="009E6C86">
              <w:rPr>
                <w:rFonts w:ascii="Franklin Gothic Book" w:hAnsi="Franklin Gothic Book"/>
              </w:rPr>
              <w:t xml:space="preserve"> </w:t>
            </w:r>
            <w:r w:rsidR="00395655" w:rsidRPr="009E6C86">
              <w:rPr>
                <w:rFonts w:ascii="Franklin Gothic Book" w:eastAsia="Calibri" w:hAnsi="Franklin Gothic Book"/>
                <w:lang w:eastAsia="en-US"/>
              </w:rPr>
              <w:t>если возникла потребность в финансовых услугах, консультационных услугах либо услугах оценщика.</w:t>
            </w:r>
          </w:p>
          <w:p w:rsidR="00294738" w:rsidRPr="007B4D7B" w:rsidRDefault="00294738" w:rsidP="00D07EEF">
            <w:pPr>
              <w:pStyle w:val="OP111"/>
              <w:numPr>
                <w:ilvl w:val="0"/>
                <w:numId w:val="0"/>
              </w:numPr>
              <w:ind w:left="29"/>
            </w:pPr>
          </w:p>
        </w:tc>
      </w:tr>
      <w:tr w:rsidR="0072078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720787" w:rsidRPr="00C00584" w:rsidRDefault="0072078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684" w:type="dxa"/>
            <w:hideMark/>
          </w:tcPr>
          <w:p w:rsidR="00AE63AF" w:rsidRPr="0063005D" w:rsidRDefault="00D07EEF" w:rsidP="00D07EE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Новороссийск, ПАО «НМТП»</w:t>
            </w:r>
          </w:p>
        </w:tc>
      </w:tr>
      <w:tr w:rsidR="00E02CB4" w:rsidRPr="00C00584" w:rsidTr="003F0AED">
        <w:trPr>
          <w:tblCellSpacing w:w="15" w:type="dxa"/>
        </w:trPr>
        <w:tc>
          <w:tcPr>
            <w:tcW w:w="4690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684" w:type="dxa"/>
          </w:tcPr>
          <w:p w:rsidR="0059025D" w:rsidRPr="00662F39" w:rsidRDefault="00395655" w:rsidP="00395655">
            <w:pPr>
              <w:pStyle w:val="a8"/>
              <w:tabs>
                <w:tab w:val="left" w:pos="-2835"/>
              </w:tabs>
              <w:ind w:left="29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220 000,00</w:t>
            </w:r>
            <w:r w:rsidR="003F0AED" w:rsidRPr="003F0AED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двадцать тысяч</w:t>
            </w:r>
            <w:r w:rsidR="003F0AED" w:rsidRPr="003F0AED">
              <w:rPr>
                <w:rFonts w:ascii="Franklin Gothic Book" w:hAnsi="Franklin Gothic Book"/>
              </w:rPr>
              <w:t>) рублей 0</w:t>
            </w:r>
            <w:r w:rsidR="003F0AED">
              <w:rPr>
                <w:rFonts w:ascii="Franklin Gothic Book" w:hAnsi="Franklin Gothic Book"/>
              </w:rPr>
              <w:t>0</w:t>
            </w:r>
            <w:r w:rsidR="003F0AED" w:rsidRPr="003F0AED">
              <w:rPr>
                <w:rFonts w:ascii="Franklin Gothic Book" w:hAnsi="Franklin Gothic Book"/>
              </w:rPr>
              <w:t xml:space="preserve"> </w:t>
            </w:r>
            <w:r w:rsidR="005C6AB1" w:rsidRPr="003F0AED">
              <w:rPr>
                <w:rFonts w:ascii="Franklin Gothic Book" w:hAnsi="Franklin Gothic Book"/>
              </w:rPr>
              <w:t>коп.</w:t>
            </w:r>
            <w:r w:rsidR="003F0AED" w:rsidRPr="003F0AED">
              <w:rPr>
                <w:rFonts w:ascii="Franklin Gothic Book" w:hAnsi="Franklin Gothic Book"/>
              </w:rPr>
              <w:t xml:space="preserve"> </w:t>
            </w:r>
            <w:r w:rsidR="005C6AB1" w:rsidRPr="003F0AED">
              <w:rPr>
                <w:rFonts w:ascii="Franklin Gothic Book" w:hAnsi="Franklin Gothic Book"/>
              </w:rPr>
              <w:t>НДС</w:t>
            </w:r>
            <w:r>
              <w:rPr>
                <w:rFonts w:ascii="Franklin Gothic Book" w:hAnsi="Franklin Gothic Book"/>
              </w:rPr>
              <w:t xml:space="preserve"> не облагается</w:t>
            </w:r>
            <w:r w:rsidR="005C6AB1" w:rsidRPr="003F0AED">
              <w:rPr>
                <w:rFonts w:ascii="Franklin Gothic Book" w:hAnsi="Franklin Gothic Book"/>
              </w:rPr>
              <w:t>.</w:t>
            </w:r>
          </w:p>
        </w:tc>
      </w:tr>
      <w:tr w:rsidR="00E0095A" w:rsidRPr="00C00584" w:rsidTr="003F0AED">
        <w:trPr>
          <w:tblCellSpacing w:w="15" w:type="dxa"/>
        </w:trPr>
        <w:tc>
          <w:tcPr>
            <w:tcW w:w="4690" w:type="dxa"/>
          </w:tcPr>
          <w:p w:rsidR="00E0095A" w:rsidRPr="00C00584" w:rsidRDefault="00E0095A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684" w:type="dxa"/>
          </w:tcPr>
          <w:p w:rsidR="00E0095A" w:rsidRDefault="00E862C7" w:rsidP="00144FB7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E862C7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3F0AED">
        <w:trPr>
          <w:tblCellSpacing w:w="15" w:type="dxa"/>
        </w:trPr>
        <w:tc>
          <w:tcPr>
            <w:tcW w:w="4690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684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3F0AED">
        <w:trPr>
          <w:tblCellSpacing w:w="15" w:type="dxa"/>
        </w:trPr>
        <w:tc>
          <w:tcPr>
            <w:tcW w:w="4690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684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3F0AED">
        <w:trPr>
          <w:tblCellSpacing w:w="15" w:type="dxa"/>
        </w:trPr>
        <w:tc>
          <w:tcPr>
            <w:tcW w:w="4690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</w:t>
            </w:r>
            <w:r w:rsidRPr="003B3335">
              <w:rPr>
                <w:rFonts w:ascii="Franklin Gothic Book" w:hAnsi="Franklin Gothic Book"/>
              </w:rPr>
              <w:lastRenderedPageBreak/>
              <w:t>характеристик</w:t>
            </w:r>
          </w:p>
        </w:tc>
        <w:tc>
          <w:tcPr>
            <w:tcW w:w="4684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720787" w:rsidRPr="00C00584" w:rsidTr="003F0AED">
        <w:trPr>
          <w:tblCellSpacing w:w="15" w:type="dxa"/>
        </w:trPr>
        <w:tc>
          <w:tcPr>
            <w:tcW w:w="4690" w:type="dxa"/>
          </w:tcPr>
          <w:p w:rsidR="00720787" w:rsidRPr="00C00584" w:rsidRDefault="00720787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684" w:type="dxa"/>
          </w:tcPr>
          <w:p w:rsidR="00D07EEF" w:rsidRDefault="001A187C" w:rsidP="00D07EEF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1A187C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</w:t>
            </w:r>
            <w:r w:rsidR="00D07EEF">
              <w:rPr>
                <w:rFonts w:ascii="Franklin Gothic Book" w:hAnsi="Franklin Gothic Book"/>
                <w:bCs/>
                <w:iCs/>
                <w:sz w:val="24"/>
                <w:szCs w:val="24"/>
              </w:rPr>
              <w:t>, ПАО «НМТП»</w:t>
            </w:r>
          </w:p>
          <w:p w:rsidR="001A187C" w:rsidRDefault="00395655" w:rsidP="00395655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395655">
              <w:rPr>
                <w:rFonts w:ascii="Franklin Gothic Book" w:hAnsi="Franklin Gothic Book"/>
                <w:szCs w:val="22"/>
                <w:lang w:eastAsia="ru-RU"/>
              </w:rPr>
              <w:t>4.1</w:t>
            </w:r>
            <w:r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r w:rsidRPr="00395655">
              <w:rPr>
                <w:rFonts w:ascii="Franklin Gothic Book" w:hAnsi="Franklin Gothic Book"/>
                <w:sz w:val="24"/>
                <w:szCs w:val="24"/>
                <w:lang w:eastAsia="ru-RU"/>
              </w:rPr>
              <w:t>Настоящий Договор вступает в силу с момента подписания Сторонами и действует до момента исполнения Сторонами взятых на себя обязательств</w:t>
            </w:r>
            <w:r w:rsidR="00B12976" w:rsidRPr="00395655">
              <w:rPr>
                <w:rFonts w:ascii="Franklin Gothic Book" w:hAnsi="Franklin Gothic Book"/>
                <w:bCs/>
                <w:iCs/>
                <w:sz w:val="24"/>
                <w:szCs w:val="24"/>
              </w:rPr>
              <w:t>.</w:t>
            </w:r>
          </w:p>
          <w:p w:rsidR="00395655" w:rsidRPr="00395655" w:rsidRDefault="00395655" w:rsidP="00395655">
            <w:pPr>
              <w:ind w:right="-57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  <w:iCs/>
              </w:rPr>
              <w:t xml:space="preserve">4.3 </w:t>
            </w:r>
            <w:r w:rsidRPr="00395655">
              <w:rPr>
                <w:rFonts w:ascii="Franklin Gothic Book" w:hAnsi="Franklin Gothic Book"/>
              </w:rPr>
              <w:t>Исполнитель приступает к оказанию услуг по настоящему Договору с момента предоставления Заказчиком Исполнителю всех необходимых документов и информации, но не ранее оплаты услуг Заказчиком в соответствии с разделом 3 настоящего Договора.</w:t>
            </w:r>
          </w:p>
          <w:p w:rsidR="00395655" w:rsidRPr="0059025D" w:rsidRDefault="00395655" w:rsidP="00395655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</w:p>
        </w:tc>
      </w:tr>
      <w:tr w:rsidR="00C05A85" w:rsidRPr="00C00584" w:rsidTr="003F0AED">
        <w:trPr>
          <w:trHeight w:val="210"/>
          <w:tblCellSpacing w:w="15" w:type="dxa"/>
        </w:trPr>
        <w:tc>
          <w:tcPr>
            <w:tcW w:w="4690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684" w:type="dxa"/>
          </w:tcPr>
          <w:p w:rsidR="00395655" w:rsidRPr="00395655" w:rsidRDefault="00395655" w:rsidP="00395655">
            <w:pPr>
              <w:ind w:right="-57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3.1 </w:t>
            </w:r>
            <w:bookmarkStart w:id="0" w:name="_GoBack"/>
            <w:r w:rsidRPr="00395655">
              <w:rPr>
                <w:rFonts w:ascii="Franklin Gothic Book" w:hAnsi="Franklin Gothic Book"/>
                <w:lang w:eastAsia="ar-SA"/>
              </w:rPr>
              <w:t>За услуги, предусмотренные настоящим Договором, Заказчик оплачивает сумму в размере 220 000 (двести двадцать тысяч) рублей, НДС не предусмотрен ввиду применения Исполнителем упрощенной системы налогообложения.</w:t>
            </w:r>
            <w:r w:rsidRPr="00395655">
              <w:rPr>
                <w:rFonts w:ascii="Franklin Gothic Book" w:hAnsi="Franklin Gothic Book"/>
              </w:rPr>
              <w:t xml:space="preserve"> </w:t>
            </w:r>
          </w:p>
          <w:p w:rsidR="00395655" w:rsidRPr="00395655" w:rsidRDefault="00395655" w:rsidP="00395655">
            <w:pPr>
              <w:jc w:val="both"/>
              <w:rPr>
                <w:rFonts w:ascii="Franklin Gothic Book" w:hAnsi="Franklin Gothic Book"/>
                <w:lang w:eastAsia="ar-SA"/>
              </w:rPr>
            </w:pPr>
            <w:r w:rsidRPr="00395655">
              <w:rPr>
                <w:rFonts w:ascii="Franklin Gothic Book" w:hAnsi="Franklin Gothic Book"/>
                <w:lang w:eastAsia="ar-SA"/>
              </w:rPr>
              <w:t>3.2 Услуги, указанные в п. 3.1. настоящего Договора, оплачиваются в следующем порядке:</w:t>
            </w:r>
          </w:p>
          <w:p w:rsidR="00395655" w:rsidRPr="00395655" w:rsidRDefault="00395655" w:rsidP="00395655">
            <w:pPr>
              <w:ind w:firstLine="567"/>
              <w:jc w:val="both"/>
              <w:rPr>
                <w:rFonts w:ascii="Franklin Gothic Book" w:hAnsi="Franklin Gothic Book"/>
                <w:lang w:eastAsia="ar-SA"/>
              </w:rPr>
            </w:pPr>
            <w:r w:rsidRPr="00395655">
              <w:rPr>
                <w:rFonts w:ascii="Franklin Gothic Book" w:hAnsi="Franklin Gothic Book"/>
                <w:lang w:eastAsia="ar-SA"/>
              </w:rPr>
              <w:t>- 110 000 рублей – аванс, на основании выставленного Исполнителем счета на оплату путем перечисления Заказчиком денежных средств на расчетный счет Исполнителя;</w:t>
            </w:r>
          </w:p>
          <w:p w:rsidR="00395655" w:rsidRPr="00395655" w:rsidRDefault="00395655" w:rsidP="00395655">
            <w:pPr>
              <w:ind w:firstLine="567"/>
              <w:jc w:val="both"/>
              <w:rPr>
                <w:rFonts w:ascii="Franklin Gothic Book" w:hAnsi="Franklin Gothic Book"/>
                <w:lang w:eastAsia="ar-SA"/>
              </w:rPr>
            </w:pPr>
            <w:r w:rsidRPr="00395655">
              <w:rPr>
                <w:rFonts w:ascii="Franklin Gothic Book" w:hAnsi="Franklin Gothic Book"/>
                <w:lang w:eastAsia="ar-SA"/>
              </w:rPr>
              <w:t>- 110 000 рублей - платеж, который подлежит оплате на основании выставленного Исполнителем счета на оплату путем перечисления Заказчиком денежных средств на расчетный счет Исполнителя в течение 5 (пяти) дней с момента подписания с Заказчиком акта выполненных работ.</w:t>
            </w:r>
          </w:p>
          <w:p w:rsidR="00395655" w:rsidRPr="00395655" w:rsidRDefault="00395655" w:rsidP="00395655">
            <w:pPr>
              <w:ind w:right="-57"/>
              <w:jc w:val="both"/>
              <w:rPr>
                <w:rFonts w:ascii="Franklin Gothic Book" w:hAnsi="Franklin Gothic Book"/>
                <w:lang w:eastAsia="ar-SA"/>
              </w:rPr>
            </w:pPr>
            <w:r w:rsidRPr="00395655">
              <w:rPr>
                <w:rFonts w:ascii="Franklin Gothic Book" w:hAnsi="Franklin Gothic Book"/>
                <w:lang w:eastAsia="ar-SA"/>
              </w:rPr>
              <w:t>3.3 Обязательства Заказчика по оплате считаются исполненными на дату зачисления денежных средств на расчетный счет Исполнителя.</w:t>
            </w:r>
          </w:p>
          <w:p w:rsidR="00395655" w:rsidRPr="00395655" w:rsidRDefault="00395655" w:rsidP="00395655">
            <w:pPr>
              <w:ind w:right="-57"/>
              <w:jc w:val="both"/>
              <w:rPr>
                <w:rFonts w:ascii="Franklin Gothic Book" w:hAnsi="Franklin Gothic Book"/>
                <w:lang w:eastAsia="ar-SA"/>
              </w:rPr>
            </w:pPr>
            <w:r w:rsidRPr="00395655">
              <w:rPr>
                <w:rFonts w:ascii="Franklin Gothic Book" w:hAnsi="Franklin Gothic Book"/>
                <w:lang w:eastAsia="ar-SA"/>
              </w:rPr>
              <w:t xml:space="preserve">3.4 </w:t>
            </w:r>
            <w:proofErr w:type="gramStart"/>
            <w:r w:rsidRPr="00395655">
              <w:rPr>
                <w:rFonts w:ascii="Franklin Gothic Book" w:hAnsi="Franklin Gothic Book"/>
                <w:lang w:eastAsia="ar-SA"/>
              </w:rPr>
              <w:t>В</w:t>
            </w:r>
            <w:proofErr w:type="gramEnd"/>
            <w:r w:rsidRPr="00395655">
              <w:rPr>
                <w:rFonts w:ascii="Franklin Gothic Book" w:hAnsi="Franklin Gothic Book"/>
                <w:lang w:eastAsia="ar-SA"/>
              </w:rPr>
              <w:t xml:space="preserve"> случае невозможности исполнения, возникшей по вине Заказчика, услуги оплачиваются в полном объеме и возврату не подлежат.</w:t>
            </w:r>
          </w:p>
          <w:p w:rsidR="00395655" w:rsidRPr="00395655" w:rsidRDefault="00395655" w:rsidP="00395655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lang w:eastAsia="ar-SA"/>
              </w:rPr>
            </w:pPr>
            <w:r w:rsidRPr="00395655">
              <w:rPr>
                <w:rFonts w:ascii="Franklin Gothic Book" w:hAnsi="Franklin Gothic Book"/>
                <w:lang w:eastAsia="ar-SA"/>
              </w:rPr>
              <w:t xml:space="preserve">3.5 </w:t>
            </w:r>
            <w:proofErr w:type="gramStart"/>
            <w:r w:rsidRPr="00395655">
              <w:rPr>
                <w:rFonts w:ascii="Franklin Gothic Book" w:hAnsi="Franklin Gothic Book"/>
                <w:lang w:eastAsia="ar-SA"/>
              </w:rPr>
              <w:t>В</w:t>
            </w:r>
            <w:proofErr w:type="gramEnd"/>
            <w:r w:rsidRPr="00395655">
              <w:rPr>
                <w:rFonts w:ascii="Franklin Gothic Book" w:hAnsi="Franklin Gothic Book"/>
                <w:lang w:eastAsia="ar-SA"/>
              </w:rPr>
              <w:t xml:space="preserve">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      </w:r>
          </w:p>
          <w:bookmarkEnd w:id="0"/>
          <w:p w:rsidR="008F5CEB" w:rsidRPr="003F0AED" w:rsidRDefault="008F5CEB" w:rsidP="005C6AB1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3F0AED">
        <w:trPr>
          <w:tblCellSpacing w:w="15" w:type="dxa"/>
        </w:trPr>
        <w:tc>
          <w:tcPr>
            <w:tcW w:w="4690" w:type="dxa"/>
          </w:tcPr>
          <w:p w:rsidR="005D0FDC" w:rsidRPr="00C00584" w:rsidRDefault="005D0FDC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684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3F0AED">
        <w:trPr>
          <w:tblCellSpacing w:w="15" w:type="dxa"/>
        </w:trPr>
        <w:tc>
          <w:tcPr>
            <w:tcW w:w="4690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684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3F0AED">
        <w:trPr>
          <w:tblCellSpacing w:w="15" w:type="dxa"/>
        </w:trPr>
        <w:tc>
          <w:tcPr>
            <w:tcW w:w="4690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684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3F0AED">
        <w:trPr>
          <w:tblCellSpacing w:w="15" w:type="dxa"/>
        </w:trPr>
        <w:tc>
          <w:tcPr>
            <w:tcW w:w="4690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684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3F0AED">
        <w:trPr>
          <w:tblCellSpacing w:w="15" w:type="dxa"/>
        </w:trPr>
        <w:tc>
          <w:tcPr>
            <w:tcW w:w="4690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684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684" w:type="dxa"/>
            <w:hideMark/>
          </w:tcPr>
          <w:p w:rsidR="00B658DF" w:rsidRPr="00B658DF" w:rsidRDefault="003355C5" w:rsidP="00B658DF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Срок заключения договора – в соответствии с </w:t>
            </w:r>
            <w:r w:rsidR="00B658DF" w:rsidRPr="00B658DF">
              <w:rPr>
                <w:rFonts w:ascii="Franklin Gothic Book" w:hAnsi="Franklin Gothic Book"/>
              </w:rPr>
              <w:t>ЕДИНЫ</w:t>
            </w:r>
            <w:r w:rsidR="00B658DF">
              <w:rPr>
                <w:rFonts w:ascii="Franklin Gothic Book" w:hAnsi="Franklin Gothic Book"/>
              </w:rPr>
              <w:t>М</w:t>
            </w:r>
            <w:r w:rsidR="00B658DF" w:rsidRPr="00B658DF">
              <w:rPr>
                <w:rFonts w:ascii="Franklin Gothic Book" w:hAnsi="Franklin Gothic Book"/>
              </w:rPr>
              <w:t xml:space="preserve"> СТАНДАРТ</w:t>
            </w:r>
            <w:r w:rsidR="00B658DF">
              <w:rPr>
                <w:rFonts w:ascii="Franklin Gothic Book" w:hAnsi="Franklin Gothic Book"/>
              </w:rPr>
              <w:t>ОМ</w:t>
            </w:r>
            <w:r w:rsidR="00B658DF" w:rsidRPr="00B658DF">
              <w:rPr>
                <w:rFonts w:ascii="Franklin Gothic Book" w:hAnsi="Franklin Gothic Book"/>
              </w:rPr>
              <w:t xml:space="preserve"> ЗАКУПОК (ПОЛОЖЕНИЕ</w:t>
            </w:r>
            <w:r w:rsidR="00B658DF">
              <w:rPr>
                <w:rFonts w:ascii="Franklin Gothic Book" w:hAnsi="Franklin Gothic Book"/>
              </w:rPr>
              <w:t>М</w:t>
            </w:r>
            <w:r w:rsidR="00B658DF" w:rsidRPr="00B658DF">
              <w:rPr>
                <w:rFonts w:ascii="Franklin Gothic Book" w:hAnsi="Franklin Gothic Book"/>
              </w:rPr>
              <w:t xml:space="preserve"> О ЗАКУПКЕ)</w:t>
            </w:r>
          </w:p>
          <w:p w:rsidR="003355C5" w:rsidRPr="00C00584" w:rsidRDefault="00B658DF" w:rsidP="00B658DF">
            <w:pPr>
              <w:jc w:val="both"/>
              <w:rPr>
                <w:rFonts w:ascii="Franklin Gothic Book" w:hAnsi="Franklin Gothic Book"/>
              </w:rPr>
            </w:pPr>
            <w:r w:rsidRPr="00B658DF">
              <w:rPr>
                <w:rFonts w:ascii="Franklin Gothic Book" w:hAnsi="Franklin Gothic Book"/>
              </w:rPr>
              <w:t xml:space="preserve">публичного акционерного общества «Новороссийский морской торговый порт», дочерних и зависимых обществ </w:t>
            </w:r>
            <w:r w:rsidRPr="00B658DF">
              <w:rPr>
                <w:rFonts w:ascii="Franklin Gothic Book" w:hAnsi="Franklin Gothic Book"/>
              </w:rPr>
              <w:lastRenderedPageBreak/>
              <w:t>публичного акционерного общества «Новороссийский морской торговый порт»</w:t>
            </w:r>
            <w:r w:rsidR="003355C5"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B00146" w:rsidRDefault="00B00146" w:rsidP="002359F7">
      <w:pPr>
        <w:rPr>
          <w:rFonts w:ascii="Franklin Gothic Book" w:hAnsi="Franklin Gothic Book"/>
          <w:bCs/>
          <w:iCs/>
        </w:rPr>
      </w:pPr>
    </w:p>
    <w:p w:rsidR="007E7E3F" w:rsidRDefault="007E7E3F" w:rsidP="007E7E3F">
      <w:pPr>
        <w:rPr>
          <w:rFonts w:ascii="Franklin Gothic Book" w:hAnsi="Franklin Gothic Book"/>
          <w:bCs/>
          <w:iCs/>
        </w:rPr>
      </w:pPr>
    </w:p>
    <w:p w:rsidR="006D4276" w:rsidRDefault="006D4276" w:rsidP="007E7E3F">
      <w:pPr>
        <w:rPr>
          <w:rFonts w:ascii="Franklin Gothic Book" w:hAnsi="Franklin Gothic Book"/>
          <w:bCs/>
          <w:iCs/>
        </w:rPr>
      </w:pPr>
    </w:p>
    <w:p w:rsidR="00103B62" w:rsidRDefault="00103B62" w:rsidP="007E7E3F">
      <w:pPr>
        <w:rPr>
          <w:rFonts w:ascii="Franklin Gothic Book" w:hAnsi="Franklin Gothic Book"/>
          <w:bCs/>
          <w:iCs/>
        </w:rPr>
      </w:pPr>
    </w:p>
    <w:p w:rsidR="00103B62" w:rsidRDefault="00103B62" w:rsidP="007E7E3F">
      <w:pPr>
        <w:rPr>
          <w:rFonts w:ascii="Franklin Gothic Book" w:hAnsi="Franklin Gothic Book"/>
          <w:bCs/>
          <w:iCs/>
        </w:rPr>
      </w:pPr>
    </w:p>
    <w:p w:rsidR="006D4276" w:rsidRDefault="006D4276" w:rsidP="007E7E3F">
      <w:pPr>
        <w:rPr>
          <w:rFonts w:ascii="Franklin Gothic Book" w:hAnsi="Franklin Gothic Book"/>
          <w:bCs/>
          <w:iCs/>
        </w:rPr>
      </w:pPr>
    </w:p>
    <w:p w:rsidR="00930C5B" w:rsidRPr="006675CA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</w:t>
      </w:r>
      <w:r w:rsidR="005C6AB1">
        <w:rPr>
          <w:rFonts w:ascii="Franklin Gothic Book" w:hAnsi="Franklin Gothic Book"/>
        </w:rPr>
        <w:t>ртиз</w:t>
      </w:r>
      <w:r w:rsidR="005C6AB1">
        <w:rPr>
          <w:rFonts w:ascii="Franklin Gothic Book" w:hAnsi="Franklin Gothic Book"/>
        </w:rPr>
        <w:tab/>
      </w:r>
      <w:r w:rsidR="005C6AB1">
        <w:rPr>
          <w:rFonts w:ascii="Franklin Gothic Book" w:hAnsi="Franklin Gothic Book"/>
        </w:rPr>
        <w:tab/>
      </w:r>
      <w:r w:rsidR="005C6AB1">
        <w:rPr>
          <w:rFonts w:ascii="Franklin Gothic Book" w:hAnsi="Franklin Gothic Book"/>
        </w:rPr>
        <w:tab/>
      </w:r>
      <w:r w:rsidR="005C6AB1">
        <w:rPr>
          <w:rFonts w:ascii="Franklin Gothic Book" w:hAnsi="Franklin Gothic Book"/>
        </w:rPr>
        <w:tab/>
      </w:r>
      <w:r w:rsidR="005C6AB1">
        <w:rPr>
          <w:rFonts w:ascii="Franklin Gothic Book" w:hAnsi="Franklin Gothic Book"/>
        </w:rPr>
        <w:tab/>
      </w:r>
      <w:r w:rsidR="005C6AB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В.А. Зайцев </w:t>
      </w:r>
    </w:p>
    <w:sectPr w:rsidR="00930C5B" w:rsidRPr="006675CA" w:rsidSect="00C52A9E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ED5"/>
    <w:multiLevelType w:val="hybridMultilevel"/>
    <w:tmpl w:val="CF80F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1F09"/>
    <w:multiLevelType w:val="hybridMultilevel"/>
    <w:tmpl w:val="A55C6D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295BD0"/>
    <w:multiLevelType w:val="hybridMultilevel"/>
    <w:tmpl w:val="FA6CBCB2"/>
    <w:lvl w:ilvl="0" w:tplc="041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6E7A79"/>
    <w:multiLevelType w:val="hybridMultilevel"/>
    <w:tmpl w:val="F1B429C6"/>
    <w:lvl w:ilvl="0" w:tplc="D6B20D2A">
      <w:start w:val="1"/>
      <w:numFmt w:val="bullet"/>
      <w:pStyle w:val="OP1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OP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29B3"/>
    <w:multiLevelType w:val="hybridMultilevel"/>
    <w:tmpl w:val="DA404E0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8" w15:restartNumberingAfterBreak="0">
    <w:nsid w:val="7FF7019E"/>
    <w:multiLevelType w:val="hybridMultilevel"/>
    <w:tmpl w:val="8518735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2E32"/>
    <w:rsid w:val="000737A4"/>
    <w:rsid w:val="00073BAC"/>
    <w:rsid w:val="00074A9F"/>
    <w:rsid w:val="000966BD"/>
    <w:rsid w:val="000A0CAB"/>
    <w:rsid w:val="000A5988"/>
    <w:rsid w:val="000A7197"/>
    <w:rsid w:val="000A7D90"/>
    <w:rsid w:val="000B03DA"/>
    <w:rsid w:val="000B2382"/>
    <w:rsid w:val="000C3354"/>
    <w:rsid w:val="000E4E9A"/>
    <w:rsid w:val="000E6E40"/>
    <w:rsid w:val="000F1EA3"/>
    <w:rsid w:val="00102A8A"/>
    <w:rsid w:val="00103B62"/>
    <w:rsid w:val="00105D1C"/>
    <w:rsid w:val="00111F5A"/>
    <w:rsid w:val="00116656"/>
    <w:rsid w:val="001204DE"/>
    <w:rsid w:val="00120927"/>
    <w:rsid w:val="001271C2"/>
    <w:rsid w:val="00134AC0"/>
    <w:rsid w:val="0013751B"/>
    <w:rsid w:val="00140CB9"/>
    <w:rsid w:val="001419B8"/>
    <w:rsid w:val="00153968"/>
    <w:rsid w:val="0015789D"/>
    <w:rsid w:val="0016150E"/>
    <w:rsid w:val="00162B41"/>
    <w:rsid w:val="001651D5"/>
    <w:rsid w:val="00165B6D"/>
    <w:rsid w:val="00167404"/>
    <w:rsid w:val="001718AF"/>
    <w:rsid w:val="00176C13"/>
    <w:rsid w:val="00193FF7"/>
    <w:rsid w:val="00195C4A"/>
    <w:rsid w:val="001A187C"/>
    <w:rsid w:val="001A3905"/>
    <w:rsid w:val="001A3C01"/>
    <w:rsid w:val="001A5297"/>
    <w:rsid w:val="001A79EC"/>
    <w:rsid w:val="001B0E92"/>
    <w:rsid w:val="001B1DD1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91CB4"/>
    <w:rsid w:val="00294738"/>
    <w:rsid w:val="002A0343"/>
    <w:rsid w:val="002A08BC"/>
    <w:rsid w:val="002A2B39"/>
    <w:rsid w:val="002B7150"/>
    <w:rsid w:val="002C1C07"/>
    <w:rsid w:val="002C3B6A"/>
    <w:rsid w:val="002C418F"/>
    <w:rsid w:val="002C5909"/>
    <w:rsid w:val="002D3CC1"/>
    <w:rsid w:val="002D3F83"/>
    <w:rsid w:val="002D7786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564B4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93ED2"/>
    <w:rsid w:val="00395655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7886"/>
    <w:rsid w:val="003F0AED"/>
    <w:rsid w:val="003F101B"/>
    <w:rsid w:val="003F1748"/>
    <w:rsid w:val="003F4AF4"/>
    <w:rsid w:val="003F67F4"/>
    <w:rsid w:val="003F70A9"/>
    <w:rsid w:val="004012B2"/>
    <w:rsid w:val="00403BB3"/>
    <w:rsid w:val="004059F7"/>
    <w:rsid w:val="00406A83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29EC"/>
    <w:rsid w:val="00474694"/>
    <w:rsid w:val="00474AEF"/>
    <w:rsid w:val="00474E5B"/>
    <w:rsid w:val="004870BB"/>
    <w:rsid w:val="004A2AE4"/>
    <w:rsid w:val="004A51C9"/>
    <w:rsid w:val="004A71C1"/>
    <w:rsid w:val="004B108C"/>
    <w:rsid w:val="004B29BA"/>
    <w:rsid w:val="004B5F26"/>
    <w:rsid w:val="004C268D"/>
    <w:rsid w:val="004C383E"/>
    <w:rsid w:val="004C514B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59DD"/>
    <w:rsid w:val="00532C40"/>
    <w:rsid w:val="00537BCC"/>
    <w:rsid w:val="00540184"/>
    <w:rsid w:val="00542A99"/>
    <w:rsid w:val="00543C0F"/>
    <w:rsid w:val="00545413"/>
    <w:rsid w:val="00551A53"/>
    <w:rsid w:val="0057037C"/>
    <w:rsid w:val="00570912"/>
    <w:rsid w:val="00574DD7"/>
    <w:rsid w:val="0057566D"/>
    <w:rsid w:val="005818CF"/>
    <w:rsid w:val="00584F78"/>
    <w:rsid w:val="005864B6"/>
    <w:rsid w:val="00586F3C"/>
    <w:rsid w:val="0059025D"/>
    <w:rsid w:val="00590911"/>
    <w:rsid w:val="00591750"/>
    <w:rsid w:val="00591CD9"/>
    <w:rsid w:val="00596713"/>
    <w:rsid w:val="005A1F97"/>
    <w:rsid w:val="005A3555"/>
    <w:rsid w:val="005A417C"/>
    <w:rsid w:val="005A6EE6"/>
    <w:rsid w:val="005B2BA2"/>
    <w:rsid w:val="005B5FEE"/>
    <w:rsid w:val="005B6C48"/>
    <w:rsid w:val="005B76F3"/>
    <w:rsid w:val="005C1A58"/>
    <w:rsid w:val="005C6AB1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5F"/>
    <w:rsid w:val="00622EF7"/>
    <w:rsid w:val="00625EF2"/>
    <w:rsid w:val="00633BE0"/>
    <w:rsid w:val="00640419"/>
    <w:rsid w:val="00640759"/>
    <w:rsid w:val="0064330B"/>
    <w:rsid w:val="00651894"/>
    <w:rsid w:val="00654CED"/>
    <w:rsid w:val="00657230"/>
    <w:rsid w:val="00660089"/>
    <w:rsid w:val="00662F39"/>
    <w:rsid w:val="006675CA"/>
    <w:rsid w:val="0067481B"/>
    <w:rsid w:val="00674C24"/>
    <w:rsid w:val="006809A3"/>
    <w:rsid w:val="00683FEB"/>
    <w:rsid w:val="006922E9"/>
    <w:rsid w:val="00692760"/>
    <w:rsid w:val="00693447"/>
    <w:rsid w:val="0069463B"/>
    <w:rsid w:val="00697FAB"/>
    <w:rsid w:val="006A2676"/>
    <w:rsid w:val="006A50EB"/>
    <w:rsid w:val="006B1E7E"/>
    <w:rsid w:val="006B3473"/>
    <w:rsid w:val="006B5AC6"/>
    <w:rsid w:val="006B5C1A"/>
    <w:rsid w:val="006C0FEB"/>
    <w:rsid w:val="006C1B7E"/>
    <w:rsid w:val="006C41FE"/>
    <w:rsid w:val="006C70FC"/>
    <w:rsid w:val="006D4043"/>
    <w:rsid w:val="006D4276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17C49"/>
    <w:rsid w:val="00720787"/>
    <w:rsid w:val="0072276E"/>
    <w:rsid w:val="00724166"/>
    <w:rsid w:val="00731FE9"/>
    <w:rsid w:val="00735246"/>
    <w:rsid w:val="007438CE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64A3"/>
    <w:rsid w:val="007D7D2E"/>
    <w:rsid w:val="007E7E3F"/>
    <w:rsid w:val="008045F6"/>
    <w:rsid w:val="00820C01"/>
    <w:rsid w:val="00826614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033A0"/>
    <w:rsid w:val="00912796"/>
    <w:rsid w:val="00913598"/>
    <w:rsid w:val="00914D8B"/>
    <w:rsid w:val="00915FCC"/>
    <w:rsid w:val="009161CE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862B1"/>
    <w:rsid w:val="009927B8"/>
    <w:rsid w:val="00993E1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31B1"/>
    <w:rsid w:val="009D730D"/>
    <w:rsid w:val="009D7BCE"/>
    <w:rsid w:val="009E2E2A"/>
    <w:rsid w:val="009E5343"/>
    <w:rsid w:val="009E6C86"/>
    <w:rsid w:val="009E7C95"/>
    <w:rsid w:val="009F0C90"/>
    <w:rsid w:val="009F2416"/>
    <w:rsid w:val="009F3063"/>
    <w:rsid w:val="009F3966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412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92D19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6D19"/>
    <w:rsid w:val="00AC7982"/>
    <w:rsid w:val="00AD478B"/>
    <w:rsid w:val="00AD66E0"/>
    <w:rsid w:val="00AE4A1D"/>
    <w:rsid w:val="00AE60AA"/>
    <w:rsid w:val="00AE63AF"/>
    <w:rsid w:val="00AF3AE3"/>
    <w:rsid w:val="00B00146"/>
    <w:rsid w:val="00B00C57"/>
    <w:rsid w:val="00B031D4"/>
    <w:rsid w:val="00B0382E"/>
    <w:rsid w:val="00B04D97"/>
    <w:rsid w:val="00B11660"/>
    <w:rsid w:val="00B12976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8DF"/>
    <w:rsid w:val="00B65B76"/>
    <w:rsid w:val="00B67312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FD1"/>
    <w:rsid w:val="00C21446"/>
    <w:rsid w:val="00C255DD"/>
    <w:rsid w:val="00C26BB9"/>
    <w:rsid w:val="00C278FC"/>
    <w:rsid w:val="00C315DB"/>
    <w:rsid w:val="00C348D6"/>
    <w:rsid w:val="00C35452"/>
    <w:rsid w:val="00C37357"/>
    <w:rsid w:val="00C37E8C"/>
    <w:rsid w:val="00C46B26"/>
    <w:rsid w:val="00C46F62"/>
    <w:rsid w:val="00C50BAB"/>
    <w:rsid w:val="00C52A9E"/>
    <w:rsid w:val="00C5644C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07EE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648E3"/>
    <w:rsid w:val="00D704F5"/>
    <w:rsid w:val="00D745B8"/>
    <w:rsid w:val="00D77C31"/>
    <w:rsid w:val="00D90092"/>
    <w:rsid w:val="00D913D5"/>
    <w:rsid w:val="00DA008F"/>
    <w:rsid w:val="00DA227A"/>
    <w:rsid w:val="00DA58D1"/>
    <w:rsid w:val="00DA7F25"/>
    <w:rsid w:val="00DB0EF9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FFC"/>
    <w:rsid w:val="00E16806"/>
    <w:rsid w:val="00E22868"/>
    <w:rsid w:val="00E22F38"/>
    <w:rsid w:val="00E24EFD"/>
    <w:rsid w:val="00E320F4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862C7"/>
    <w:rsid w:val="00E90B96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C650A"/>
    <w:rsid w:val="00EC6590"/>
    <w:rsid w:val="00ED0B38"/>
    <w:rsid w:val="00ED163C"/>
    <w:rsid w:val="00EE23EF"/>
    <w:rsid w:val="00EE630A"/>
    <w:rsid w:val="00EE69A2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66538"/>
    <w:rsid w:val="00F70457"/>
    <w:rsid w:val="00F72EE7"/>
    <w:rsid w:val="00F75150"/>
    <w:rsid w:val="00F80323"/>
    <w:rsid w:val="00F82A90"/>
    <w:rsid w:val="00F87D6F"/>
    <w:rsid w:val="00FA1BD1"/>
    <w:rsid w:val="00FA2E4F"/>
    <w:rsid w:val="00FA47A2"/>
    <w:rsid w:val="00FB0F27"/>
    <w:rsid w:val="00FB17BD"/>
    <w:rsid w:val="00FB49E9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196C4-58CA-4F7E-ABDF-8A9C115C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3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1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06A83"/>
    <w:pPr>
      <w:numPr>
        <w:ilvl w:val="0"/>
        <w:numId w:val="4"/>
      </w:numPr>
      <w:ind w:left="29" w:hanging="2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2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5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Ришава Кристина Елвиевна</cp:lastModifiedBy>
  <cp:revision>88</cp:revision>
  <cp:lastPrinted>2017-05-22T12:06:00Z</cp:lastPrinted>
  <dcterms:created xsi:type="dcterms:W3CDTF">2016-06-21T09:17:00Z</dcterms:created>
  <dcterms:modified xsi:type="dcterms:W3CDTF">2017-05-22T12:16:00Z</dcterms:modified>
</cp:coreProperties>
</file>