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Документация о </w:t>
      </w:r>
      <w:r w:rsidR="004A1824">
        <w:rPr>
          <w:rFonts w:ascii="Franklin Gothic Book" w:hAnsi="Franklin Gothic Book"/>
          <w:b/>
        </w:rPr>
        <w:t>процедуре</w:t>
      </w:r>
      <w:r w:rsidR="00BD2C55">
        <w:rPr>
          <w:rFonts w:ascii="Franklin Gothic Book" w:hAnsi="Franklin Gothic Book"/>
          <w:b/>
        </w:rPr>
        <w:t xml:space="preserve"> по выбору покупателя</w:t>
      </w:r>
      <w:r w:rsidR="00BD2C55" w:rsidRPr="00BD2C55">
        <w:t xml:space="preserve"> </w:t>
      </w:r>
      <w:r w:rsidR="00BD2C55" w:rsidRPr="00BD2C55">
        <w:rPr>
          <w:rFonts w:ascii="Franklin Gothic Book" w:hAnsi="Franklin Gothic Book"/>
          <w:b/>
        </w:rPr>
        <w:t>крана КС-4871 г\</w:t>
      </w:r>
      <w:proofErr w:type="gramStart"/>
      <w:r w:rsidR="00BD2C55" w:rsidRPr="00BD2C55">
        <w:rPr>
          <w:rFonts w:ascii="Franklin Gothic Book" w:hAnsi="Franklin Gothic Book"/>
          <w:b/>
        </w:rPr>
        <w:t>п</w:t>
      </w:r>
      <w:proofErr w:type="gramEnd"/>
      <w:r w:rsidR="00BD2C55" w:rsidRPr="00BD2C55">
        <w:rPr>
          <w:rFonts w:ascii="Franklin Gothic Book" w:hAnsi="Franklin Gothic Book"/>
          <w:b/>
        </w:rPr>
        <w:t xml:space="preserve"> 20т.</w:t>
      </w:r>
      <w:bookmarkStart w:id="1" w:name="_GoBack"/>
      <w:bookmarkEnd w:id="1"/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DF4A67" w:rsidRPr="00DF4A67">
        <w:rPr>
          <w:rFonts w:ascii="Franklin Gothic Book" w:hAnsi="Franklin Gothic Book"/>
          <w:bCs/>
        </w:rPr>
        <w:t xml:space="preserve"> </w:t>
      </w:r>
      <w:r w:rsidR="004A1824">
        <w:rPr>
          <w:rFonts w:ascii="Franklin Gothic Book" w:hAnsi="Franklin Gothic Book"/>
          <w:bCs/>
        </w:rPr>
        <w:t xml:space="preserve">покупку </w:t>
      </w:r>
      <w:r w:rsidR="00DF4A67" w:rsidRPr="00DF4A67">
        <w:rPr>
          <w:rFonts w:ascii="Franklin Gothic Book" w:hAnsi="Franklin Gothic Book"/>
          <w:bCs/>
        </w:rPr>
        <w:t>крана КС-4871 г\</w:t>
      </w:r>
      <w:proofErr w:type="gramStart"/>
      <w:r w:rsidR="00DF4A67" w:rsidRPr="00DF4A67">
        <w:rPr>
          <w:rFonts w:ascii="Franklin Gothic Book" w:hAnsi="Franklin Gothic Book"/>
          <w:bCs/>
        </w:rPr>
        <w:t>п</w:t>
      </w:r>
      <w:proofErr w:type="gramEnd"/>
      <w:r w:rsidR="00DF4A67" w:rsidRPr="00DF4A67">
        <w:rPr>
          <w:rFonts w:ascii="Franklin Gothic Book" w:hAnsi="Franklin Gothic Book"/>
          <w:bCs/>
        </w:rPr>
        <w:t xml:space="preserve"> 20т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D25F6">
        <w:rPr>
          <w:rFonts w:ascii="Franklin Gothic Book" w:hAnsi="Franklin Gothic Book"/>
        </w:rPr>
        <w:t>процедуре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Выбор покупателя </w:t>
      </w:r>
      <w:r w:rsidR="00DF4A67" w:rsidRPr="00DF4A67">
        <w:rPr>
          <w:rFonts w:ascii="Franklin Gothic Book" w:hAnsi="Franklin Gothic Book"/>
          <w:bCs/>
        </w:rPr>
        <w:t>крана КС-4871 г\п 20т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4A1824">
        <w:rPr>
          <w:rFonts w:ascii="Franklin Gothic Book" w:hAnsi="Franklin Gothic Book"/>
          <w:b/>
        </w:rPr>
        <w:t>процедуре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 xml:space="preserve">2.4.1 Процедура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4A1824">
        <w:rPr>
          <w:rFonts w:ascii="Franklin Gothic Book" w:hAnsi="Franklin Gothic Book"/>
          <w:color w:val="000000"/>
        </w:rPr>
        <w:t>процедуры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4A1824">
        <w:rPr>
          <w:rFonts w:ascii="Franklin Gothic Book" w:hAnsi="Franklin Gothic Book"/>
          <w:color w:val="000000"/>
        </w:rPr>
        <w:t>процедуры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>
        <w:rPr>
          <w:rFonts w:ascii="Franklin Gothic Book" w:hAnsi="Franklin Gothic Book"/>
          <w:color w:val="000000"/>
        </w:rPr>
        <w:t>процедуры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>
        <w:rPr>
          <w:rFonts w:ascii="Franklin Gothic Book" w:hAnsi="Franklin Gothic Book"/>
          <w:b/>
        </w:rPr>
        <w:t>процедуре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="000745CB">
        <w:rPr>
          <w:rFonts w:ascii="Franklin Gothic Book" w:hAnsi="Franklin Gothic Book"/>
        </w:rPr>
        <w:t>(форма 2)</w:t>
      </w:r>
      <w:r w:rsidRPr="0043227A">
        <w:rPr>
          <w:rFonts w:ascii="Franklin Gothic Book" w:hAnsi="Franklin Gothic Book"/>
        </w:rPr>
        <w:t>;</w:t>
      </w:r>
    </w:p>
    <w:p w:rsidR="00A73643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</w:rPr>
        <w:t>- анкета участника запроса котиро</w:t>
      </w:r>
      <w:r w:rsidR="000745CB" w:rsidRPr="000745CB">
        <w:rPr>
          <w:rFonts w:ascii="Franklin Gothic Book" w:hAnsi="Franklin Gothic Book"/>
        </w:rPr>
        <w:t>вок (форма 3</w:t>
      </w:r>
      <w:r w:rsidRPr="000745CB">
        <w:rPr>
          <w:rFonts w:ascii="Franklin Gothic Book" w:hAnsi="Franklin Gothic Book"/>
        </w:rPr>
        <w:t>)</w:t>
      </w:r>
      <w:r w:rsidR="00DF4A67" w:rsidRPr="000745CB">
        <w:rPr>
          <w:rFonts w:ascii="Franklin Gothic Book" w:hAnsi="Franklin Gothic Book"/>
        </w:rPr>
        <w:t>;</w:t>
      </w:r>
    </w:p>
    <w:p w:rsidR="00DF4A67" w:rsidRDefault="00DF4A67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0745CB">
        <w:rPr>
          <w:rFonts w:ascii="Franklin Gothic Book" w:hAnsi="Franklin Gothic Book"/>
        </w:rPr>
        <w:t>с</w:t>
      </w:r>
      <w:r w:rsidR="000745CB" w:rsidRPr="000745CB">
        <w:rPr>
          <w:rFonts w:ascii="Franklin Gothic Book" w:hAnsi="Franklin Gothic Book"/>
        </w:rPr>
        <w:t>правка о наличии материально-технических ресурсов</w:t>
      </w:r>
      <w:r w:rsidR="000745CB">
        <w:rPr>
          <w:rFonts w:ascii="Franklin Gothic Book" w:hAnsi="Franklin Gothic Book"/>
        </w:rPr>
        <w:t xml:space="preserve"> (форма 4);</w:t>
      </w:r>
    </w:p>
    <w:p w:rsidR="000745CB" w:rsidRPr="0043227A" w:rsidRDefault="000745CB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DF4A67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DF4A67">
        <w:rPr>
          <w:rFonts w:ascii="Franklin Gothic Book" w:hAnsi="Franklin Gothic Book"/>
          <w:b/>
        </w:rPr>
        <w:t xml:space="preserve">4. Объем </w:t>
      </w:r>
      <w:r w:rsidR="004A1824">
        <w:rPr>
          <w:rFonts w:ascii="Franklin Gothic Book" w:hAnsi="Franklin Gothic Book"/>
          <w:b/>
        </w:rPr>
        <w:t>процедуры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  <w:r w:rsidRPr="00DF4A67">
        <w:rPr>
          <w:rFonts w:ascii="Franklin Gothic Book" w:hAnsi="Franklin Gothic Book" w:cs="Arial"/>
          <w:b/>
          <w:sz w:val="20"/>
          <w:szCs w:val="22"/>
        </w:rPr>
        <w:t>ТЕХНИЧЕСКОЕ ЗАДАНИЕ</w:t>
      </w: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proofErr w:type="gramStart"/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>На реализацию</w:t>
      </w:r>
      <w:r w:rsidRPr="00DF4A67">
        <w:rPr>
          <w:rFonts w:ascii="Franklin Gothic Book" w:hAnsi="Franklin Gothic Book"/>
          <w:b/>
          <w:sz w:val="20"/>
          <w:szCs w:val="22"/>
        </w:rPr>
        <w:t xml:space="preserve">  </w:t>
      </w: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нижеперечисленных б/у ОС: </w:t>
      </w:r>
      <w:proofErr w:type="gramEnd"/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DF4A67" w:rsidRPr="00DF4A67" w:rsidTr="00DF4A67">
        <w:tc>
          <w:tcPr>
            <w:tcW w:w="882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DF4A67" w:rsidRPr="00DF4A67" w:rsidTr="00DF4A67">
        <w:tc>
          <w:tcPr>
            <w:tcW w:w="882" w:type="dxa"/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20т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DF4A67" w:rsidRPr="00DF4A67" w:rsidRDefault="00DF4A67" w:rsidP="00DF4A67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DF4A67" w:rsidRPr="000745CB" w:rsidTr="00DF4A67">
        <w:trPr>
          <w:trHeight w:val="38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DF4A67" w:rsidRPr="000745CB" w:rsidTr="00DF4A67">
        <w:trPr>
          <w:trHeight w:val="102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DF4A67" w:rsidRPr="000745CB" w:rsidRDefault="00DF4A67" w:rsidP="00DF4A67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10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DF4A67" w:rsidRPr="000745CB" w:rsidTr="00DF4A67">
        <w:trPr>
          <w:trHeight w:val="413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DF4A67" w:rsidRPr="000745CB" w:rsidTr="00DF4A67">
        <w:trPr>
          <w:trHeight w:val="425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</w:t>
            </w:r>
            <w:proofErr w:type="gramStart"/>
            <w:r w:rsidRPr="000745CB">
              <w:rPr>
                <w:rFonts w:ascii="Franklin Gothic Book" w:hAnsi="Franklin Gothic Book"/>
              </w:rPr>
              <w:t>и</w:t>
            </w:r>
            <w:proofErr w:type="gramEnd"/>
            <w:r w:rsidRPr="000745CB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DF4A67" w:rsidRPr="000745CB" w:rsidTr="00DF4A67">
        <w:trPr>
          <w:trHeight w:val="41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7.</w:t>
            </w:r>
          </w:p>
        </w:tc>
        <w:tc>
          <w:tcPr>
            <w:tcW w:w="2693" w:type="dxa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списания и </w:t>
            </w:r>
            <w:r w:rsidR="004A1824">
              <w:rPr>
                <w:rFonts w:ascii="Franklin Gothic Book" w:hAnsi="Franklin Gothic Book"/>
                <w:color w:val="000000"/>
              </w:rPr>
              <w:t>процедуры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ОС на 2015год</w:t>
            </w:r>
          </w:p>
        </w:tc>
      </w:tr>
      <w:tr w:rsidR="00DF4A67" w:rsidRPr="000745CB" w:rsidTr="00DF4A67">
        <w:trPr>
          <w:trHeight w:val="837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8.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9.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 состав работ по </w:t>
            </w:r>
            <w:r w:rsidR="004A1824">
              <w:rPr>
                <w:rFonts w:ascii="Franklin Gothic Book" w:hAnsi="Franklin Gothic Book"/>
                <w:color w:val="000000"/>
              </w:rPr>
              <w:t>процедуре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б/у ОС входит.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Вывоз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10.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6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DF4A67" w:rsidRPr="000745CB" w:rsidRDefault="00DF4A67" w:rsidP="000745CB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proofErr w:type="gramStart"/>
      <w:r w:rsidRPr="000745CB">
        <w:rPr>
          <w:rFonts w:ascii="Franklin Gothic Book" w:hAnsi="Franklin Gothic Book" w:cs="Franklin Gothic Book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</w:t>
      </w:r>
      <w:proofErr w:type="spellStart"/>
      <w:r w:rsidRPr="000745CB">
        <w:rPr>
          <w:rFonts w:ascii="Franklin Gothic Book" w:hAnsi="Franklin Gothic Book" w:cs="Franklin Gothic Book"/>
        </w:rPr>
        <w:t>Фофонова</w:t>
      </w:r>
      <w:proofErr w:type="spellEnd"/>
      <w:r w:rsidRPr="000745CB">
        <w:rPr>
          <w:rFonts w:ascii="Franklin Gothic Book" w:hAnsi="Franklin Gothic Book" w:cs="Franklin Gothic Book"/>
        </w:rPr>
        <w:t xml:space="preserve">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>осуществляется Покупателем в течени</w:t>
      </w:r>
      <w:proofErr w:type="gramStart"/>
      <w:r w:rsidRPr="000745CB">
        <w:rPr>
          <w:rFonts w:ascii="Franklin Gothic Book" w:hAnsi="Franklin Gothic Book" w:cs="Franklin Gothic Book"/>
          <w:snapToGrid w:val="0"/>
        </w:rPr>
        <w:t>и</w:t>
      </w:r>
      <w:proofErr w:type="gramEnd"/>
      <w:r w:rsidRPr="000745CB">
        <w:rPr>
          <w:rFonts w:ascii="Franklin Gothic Book" w:hAnsi="Franklin Gothic Book" w:cs="Franklin Gothic Book"/>
          <w:snapToGrid w:val="0"/>
        </w:rPr>
        <w:t xml:space="preserve"> 5 (пяти) календарных дней с момента подписания настоящего Договора. </w:t>
      </w:r>
    </w:p>
    <w:p w:rsidR="00DF4A67" w:rsidRPr="000745CB" w:rsidRDefault="00DF4A67" w:rsidP="000745CB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Покупателе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DF4A67" w:rsidRPr="000745CB" w:rsidRDefault="00DF4A67" w:rsidP="000745CB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</w:t>
      </w:r>
      <w:proofErr w:type="gramStart"/>
      <w:r w:rsidRPr="000745CB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proofErr w:type="spellStart"/>
      <w:r w:rsidRPr="000745CB">
        <w:rPr>
          <w:rFonts w:ascii="Franklin Gothic Book" w:hAnsi="Franklin Gothic Book"/>
          <w:lang w:val="en-US"/>
        </w:rPr>
        <w:t>nmtp</w:t>
      </w:r>
      <w:proofErr w:type="spellEnd"/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  <w:proofErr w:type="gramEnd"/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</w:t>
      </w:r>
      <w:r w:rsidR="000745CB" w:rsidRPr="000745CB">
        <w:rPr>
          <w:rFonts w:ascii="Franklin Gothic Book" w:hAnsi="Franklin Gothic Book"/>
        </w:rPr>
        <w:t xml:space="preserve">ствии с таблицей Приложения №2.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 w:rsidR="000745CB"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</w:t>
      </w:r>
      <w:proofErr w:type="gramStart"/>
      <w:r w:rsidRPr="000745CB">
        <w:rPr>
          <w:rFonts w:ascii="Franklin Gothic Book" w:hAnsi="Franklin Gothic Book" w:cs="Franklin Gothic Book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Сухумийское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шоссе,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Нефтерайон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4.3. 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Торгово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– промышленной палатой г. Новороссийска.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порядке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DF4A67" w:rsidRPr="000745CB" w:rsidTr="00DF4A67">
        <w:tc>
          <w:tcPr>
            <w:tcW w:w="49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DF4A67" w:rsidRPr="000745CB" w:rsidTr="00DF4A67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0745CB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DF4A67" w:rsidRPr="000745CB" w:rsidTr="00DF4A67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DF4A67" w:rsidRPr="000745CB" w:rsidTr="00DF4A67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</w:t>
      </w:r>
      <w:proofErr w:type="spellStart"/>
      <w:r w:rsidRPr="000745CB">
        <w:rPr>
          <w:rFonts w:ascii="Franklin Gothic Book" w:hAnsi="Franklin Gothic Book"/>
          <w:color w:val="333333"/>
        </w:rPr>
        <w:t>Гостехнадзоре</w:t>
      </w:r>
      <w:proofErr w:type="spellEnd"/>
      <w:r w:rsidRPr="000745CB">
        <w:rPr>
          <w:rFonts w:ascii="Franklin Gothic Book" w:hAnsi="Franklin Gothic Book"/>
          <w:color w:val="333333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DF4A67" w:rsidRDefault="001C70A8" w:rsidP="00DF4A67">
      <w:pPr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DF4A67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>
        <w:rPr>
          <w:rFonts w:ascii="Franklin Gothic Book" w:hAnsi="Franklin Gothic Book"/>
          <w:b/>
          <w:kern w:val="28"/>
        </w:rPr>
        <w:t>процедуре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BD2C55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0745CB">
        <w:rPr>
          <w:rFonts w:ascii="Franklin Gothic Book" w:hAnsi="Franklin Gothic Book"/>
          <w:vertAlign w:val="superscript"/>
        </w:rPr>
        <w:t>выполнения работ/рабочих дней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43227A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BD2C55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DF4A67" w:rsidRPr="00DF4A67" w:rsidTr="00DF4A67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DF4A67" w:rsidRPr="00DF4A67" w:rsidTr="00DF4A67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F4A67" w:rsidRPr="00DF4A67" w:rsidTr="00DF4A67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DF4A67" w:rsidRDefault="00DF4A67" w:rsidP="00DF4A67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DF4A67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43227A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F871DF" w:rsidRPr="0043227A" w:rsidTr="00DF4A67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>
        <w:rPr>
          <w:rFonts w:ascii="Franklin Gothic Book" w:hAnsi="Franklin Gothic Book"/>
        </w:rPr>
        <w:t>процедуры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4A1824">
        <w:rPr>
          <w:rFonts w:ascii="Franklin Gothic Book" w:hAnsi="Franklin Gothic Book"/>
          <w:b/>
          <w:bCs/>
        </w:rPr>
        <w:t>процедуры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A20885" w:rsidRPr="0043227A">
        <w:rPr>
          <w:rFonts w:ascii="Franklin Gothic Book" w:hAnsi="Franklin Gothic Book"/>
          <w:b/>
          <w:bCs/>
        </w:rPr>
        <w:t xml:space="preserve">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DF4A67" w:rsidRPr="00DF4A67" w:rsidRDefault="000745CB" w:rsidP="00DF4A6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6.4</w:t>
      </w:r>
      <w:r w:rsidR="00DF4A67" w:rsidRPr="00DF4A67">
        <w:rPr>
          <w:rFonts w:ascii="Franklin Gothic Book" w:hAnsi="Franklin Gothic Book"/>
          <w:b/>
        </w:rPr>
        <w:t xml:space="preserve"> Справка о наличии материаль</w:t>
      </w:r>
      <w:r>
        <w:rPr>
          <w:rFonts w:ascii="Franklin Gothic Book" w:hAnsi="Franklin Gothic Book"/>
          <w:b/>
        </w:rPr>
        <w:t>но-технических ресурсов (форма 4</w:t>
      </w:r>
      <w:r w:rsidR="00DF4A67" w:rsidRPr="00DF4A67">
        <w:rPr>
          <w:rFonts w:ascii="Franklin Gothic Book" w:hAnsi="Franklin Gothic Book"/>
          <w:b/>
        </w:rPr>
        <w:t>)</w:t>
      </w:r>
    </w:p>
    <w:p w:rsidR="00DF4A67" w:rsidRPr="00DF4A67" w:rsidRDefault="00DF4A67" w:rsidP="00DF4A67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</w:t>
      </w:r>
      <w:proofErr w:type="gramStart"/>
      <w:r w:rsidRPr="00DF4A67">
        <w:rPr>
          <w:rFonts w:ascii="Franklin Gothic Book" w:hAnsi="Franklin Gothic Book"/>
          <w:bCs/>
        </w:rPr>
        <w:t>г</w:t>
      </w:r>
      <w:proofErr w:type="gramEnd"/>
      <w:r w:rsidRPr="00DF4A67">
        <w:rPr>
          <w:rFonts w:ascii="Franklin Gothic Book" w:hAnsi="Franklin Gothic Book"/>
          <w:bCs/>
        </w:rPr>
        <w:t>. №__________</w:t>
      </w: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DF4A67" w:rsidRPr="00DF4A67" w:rsidTr="00DF4A67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DF4A67" w:rsidRPr="00DF4A67" w:rsidTr="00DF4A67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="000745CB"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 w:rsidR="000745CB"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="000745CB" w:rsidRPr="000745CB">
        <w:rPr>
          <w:rFonts w:ascii="Franklin Gothic Book" w:hAnsi="Franklin Gothic Book"/>
          <w:sz w:val="20"/>
          <w:szCs w:val="20"/>
        </w:rPr>
        <w:t>.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DF4A67" w:rsidRPr="00DF4A67" w:rsidRDefault="00DF4A67" w:rsidP="00DF4A67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824" w:rsidRDefault="004A1824">
      <w:r>
        <w:separator/>
      </w:r>
    </w:p>
  </w:endnote>
  <w:endnote w:type="continuationSeparator" w:id="0">
    <w:p w:rsidR="004A1824" w:rsidRDefault="004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24" w:rsidRDefault="00BD2C55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A1824" w:rsidRPr="00997139" w:rsidRDefault="004A1824" w:rsidP="00C73CE1"/>
            </w:txbxContent>
          </v:textbox>
        </v:shape>
      </w:pict>
    </w:r>
    <w:r w:rsidR="004A1824">
      <w:rPr>
        <w:rStyle w:val="a9"/>
      </w:rPr>
      <w:fldChar w:fldCharType="begin"/>
    </w:r>
    <w:r w:rsidR="004A1824">
      <w:rPr>
        <w:rStyle w:val="a9"/>
      </w:rPr>
      <w:instrText xml:space="preserve"> PAGE </w:instrText>
    </w:r>
    <w:r w:rsidR="004A1824">
      <w:rPr>
        <w:rStyle w:val="a9"/>
      </w:rPr>
      <w:fldChar w:fldCharType="separate"/>
    </w:r>
    <w:r>
      <w:rPr>
        <w:rStyle w:val="a9"/>
        <w:noProof/>
      </w:rPr>
      <w:t>1</w:t>
    </w:r>
    <w:r w:rsidR="004A1824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824" w:rsidRDefault="004A1824">
      <w:r>
        <w:separator/>
      </w:r>
    </w:p>
  </w:footnote>
  <w:footnote w:type="continuationSeparator" w:id="0">
    <w:p w:rsidR="004A1824" w:rsidRDefault="004A1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F4730"/>
    <w:rsid w:val="00D54DC7"/>
    <w:rsid w:val="00D82484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5</cp:revision>
  <cp:lastPrinted>2016-02-05T07:36:00Z</cp:lastPrinted>
  <dcterms:created xsi:type="dcterms:W3CDTF">2015-09-10T10:56:00Z</dcterms:created>
  <dcterms:modified xsi:type="dcterms:W3CDTF">2016-02-05T07:41:00Z</dcterms:modified>
</cp:coreProperties>
</file>