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284" w:type="dxa"/>
        <w:tblLayout w:type="fixed"/>
        <w:tblLook w:val="0000" w:firstRow="0" w:lastRow="0" w:firstColumn="0" w:lastColumn="0" w:noHBand="0" w:noVBand="0"/>
      </w:tblPr>
      <w:tblGrid>
        <w:gridCol w:w="4820"/>
        <w:gridCol w:w="4962"/>
      </w:tblGrid>
      <w:tr w:rsidR="00E93C8D" w:rsidRPr="00736676" w:rsidTr="00BA48F5">
        <w:tc>
          <w:tcPr>
            <w:tcW w:w="4820" w:type="dxa"/>
            <w:shd w:val="clear" w:color="auto" w:fill="auto"/>
          </w:tcPr>
          <w:p w:rsidR="00BA48F5" w:rsidRPr="00E93C8D" w:rsidRDefault="00BA48F5" w:rsidP="00BA48F5">
            <w:pPr>
              <w:widowControl w:val="0"/>
              <w:tabs>
                <w:tab w:val="left" w:pos="1101"/>
                <w:tab w:val="left" w:pos="1461"/>
              </w:tabs>
              <w:rPr>
                <w:sz w:val="20"/>
              </w:rPr>
            </w:pPr>
            <w:bookmarkStart w:id="0" w:name="_GoBack"/>
            <w:bookmarkEnd w:id="0"/>
            <w:r w:rsidRPr="00E93C8D">
              <w:rPr>
                <w:sz w:val="20"/>
              </w:rPr>
              <w:t>STRICTLY CONFIDENTIAL</w:t>
            </w:r>
          </w:p>
          <w:p w:rsidR="00BA48F5" w:rsidRPr="00E93C8D" w:rsidRDefault="00BA48F5" w:rsidP="00BA48F5">
            <w:pPr>
              <w:widowControl w:val="0"/>
              <w:tabs>
                <w:tab w:val="left" w:pos="1101"/>
                <w:tab w:val="left" w:pos="1461"/>
              </w:tabs>
              <w:rPr>
                <w:sz w:val="20"/>
              </w:rPr>
            </w:pPr>
            <w:r w:rsidRPr="00E93C8D">
              <w:rPr>
                <w:sz w:val="20"/>
              </w:rPr>
              <w:t>“Deloitte Consulting” LLC</w:t>
            </w:r>
          </w:p>
          <w:p w:rsidR="00BA48F5" w:rsidRPr="00E93C8D" w:rsidRDefault="00BA48F5" w:rsidP="00BA48F5">
            <w:pPr>
              <w:widowControl w:val="0"/>
              <w:rPr>
                <w:b/>
                <w:bCs/>
                <w:sz w:val="20"/>
              </w:rPr>
            </w:pPr>
            <w:r w:rsidRPr="00E93C8D">
              <w:rPr>
                <w:sz w:val="20"/>
              </w:rPr>
              <w:t>5 Lesnaya St., Moscow, 125047, Russia</w:t>
            </w:r>
          </w:p>
        </w:tc>
        <w:tc>
          <w:tcPr>
            <w:tcW w:w="4962" w:type="dxa"/>
          </w:tcPr>
          <w:p w:rsidR="00BA48F5" w:rsidRPr="00E93C8D" w:rsidRDefault="00BA48F5" w:rsidP="00BA48F5">
            <w:pPr>
              <w:widowControl w:val="0"/>
              <w:rPr>
                <w:sz w:val="20"/>
                <w:lang w:val="ru-RU"/>
              </w:rPr>
            </w:pPr>
            <w:r w:rsidRPr="00E93C8D">
              <w:rPr>
                <w:sz w:val="20"/>
                <w:lang w:val="ru-RU"/>
              </w:rPr>
              <w:t>КОММЕРЧЕСКАЯ ТАЙНА</w:t>
            </w:r>
          </w:p>
          <w:p w:rsidR="00BA48F5" w:rsidRPr="00E93C8D" w:rsidRDefault="00BA48F5" w:rsidP="00BA48F5">
            <w:pPr>
              <w:widowControl w:val="0"/>
              <w:rPr>
                <w:sz w:val="20"/>
                <w:lang w:val="ru-RU"/>
              </w:rPr>
            </w:pPr>
            <w:r w:rsidRPr="00E93C8D">
              <w:rPr>
                <w:sz w:val="20"/>
                <w:lang w:val="ru-RU"/>
              </w:rPr>
              <w:t>ООО «Делойт Консалтинг»</w:t>
            </w:r>
          </w:p>
          <w:p w:rsidR="00BA48F5" w:rsidRPr="00E93C8D" w:rsidRDefault="00BA48F5" w:rsidP="00BA48F5">
            <w:pPr>
              <w:widowControl w:val="0"/>
              <w:ind w:right="9"/>
              <w:rPr>
                <w:b/>
                <w:bCs/>
                <w:sz w:val="20"/>
                <w:lang w:val="ru-RU"/>
              </w:rPr>
            </w:pPr>
            <w:r w:rsidRPr="00E93C8D">
              <w:rPr>
                <w:sz w:val="20"/>
                <w:lang w:val="ru-RU"/>
              </w:rPr>
              <w:t>ул. Лесная, д.5, Москва, 125047, Россия</w:t>
            </w:r>
          </w:p>
        </w:tc>
      </w:tr>
      <w:tr w:rsidR="00E93C8D" w:rsidRPr="00E93C8D" w:rsidTr="00ED7EC7">
        <w:tblPrEx>
          <w:tblLook w:val="01E0" w:firstRow="1" w:lastRow="1" w:firstColumn="1" w:lastColumn="1" w:noHBand="0" w:noVBand="0"/>
        </w:tblPrEx>
        <w:tc>
          <w:tcPr>
            <w:tcW w:w="4820" w:type="dxa"/>
          </w:tcPr>
          <w:p w:rsidR="002049E2" w:rsidRPr="00E93C8D" w:rsidRDefault="002049E2" w:rsidP="003E124E">
            <w:pPr>
              <w:widowControl w:val="0"/>
              <w:autoSpaceDE w:val="0"/>
              <w:autoSpaceDN w:val="0"/>
              <w:adjustRightInd w:val="0"/>
              <w:rPr>
                <w:b/>
                <w:bCs/>
                <w:sz w:val="20"/>
                <w:lang w:val="ru-RU"/>
              </w:rPr>
            </w:pPr>
          </w:p>
          <w:p w:rsidR="002049E2" w:rsidRPr="00E93C8D" w:rsidRDefault="00D364F2" w:rsidP="003E124E">
            <w:pPr>
              <w:widowControl w:val="0"/>
              <w:autoSpaceDE w:val="0"/>
              <w:autoSpaceDN w:val="0"/>
              <w:adjustRightInd w:val="0"/>
              <w:rPr>
                <w:b/>
                <w:bCs/>
                <w:sz w:val="20"/>
              </w:rPr>
            </w:pPr>
            <w:r w:rsidRPr="00E93C8D">
              <w:rPr>
                <w:b/>
                <w:bCs/>
                <w:sz w:val="20"/>
              </w:rPr>
              <w:t>ENGAGEMENT LETTER No. Tax/2016/43236</w:t>
            </w:r>
          </w:p>
          <w:p w:rsidR="002049E2" w:rsidRPr="00E93C8D" w:rsidRDefault="002049E2" w:rsidP="003E124E">
            <w:pPr>
              <w:widowControl w:val="0"/>
              <w:autoSpaceDE w:val="0"/>
              <w:autoSpaceDN w:val="0"/>
              <w:adjustRightInd w:val="0"/>
              <w:rPr>
                <w:b/>
                <w:bCs/>
                <w:sz w:val="20"/>
              </w:rPr>
            </w:pPr>
          </w:p>
          <w:p w:rsidR="002049E2" w:rsidRPr="00E93C8D" w:rsidRDefault="00F66861" w:rsidP="003E124E">
            <w:pPr>
              <w:widowControl w:val="0"/>
              <w:autoSpaceDE w:val="0"/>
              <w:autoSpaceDN w:val="0"/>
              <w:adjustRightInd w:val="0"/>
              <w:rPr>
                <w:bCs/>
                <w:sz w:val="20"/>
              </w:rPr>
            </w:pPr>
            <w:r w:rsidRPr="00E93C8D">
              <w:rPr>
                <w:bCs/>
                <w:sz w:val="20"/>
              </w:rPr>
              <w:t>“21” December 2016</w:t>
            </w:r>
          </w:p>
          <w:p w:rsidR="00552104" w:rsidRPr="00E93C8D" w:rsidRDefault="00552104" w:rsidP="003E124E">
            <w:pPr>
              <w:widowControl w:val="0"/>
              <w:autoSpaceDE w:val="0"/>
              <w:autoSpaceDN w:val="0"/>
              <w:adjustRightInd w:val="0"/>
              <w:rPr>
                <w:bCs/>
                <w:sz w:val="20"/>
              </w:rPr>
            </w:pPr>
          </w:p>
          <w:p w:rsidR="002049E2" w:rsidRPr="00E93C8D" w:rsidRDefault="002049E2" w:rsidP="003E124E">
            <w:pPr>
              <w:widowControl w:val="0"/>
              <w:autoSpaceDE w:val="0"/>
              <w:autoSpaceDN w:val="0"/>
              <w:adjustRightInd w:val="0"/>
              <w:rPr>
                <w:sz w:val="20"/>
              </w:rPr>
            </w:pPr>
          </w:p>
        </w:tc>
        <w:tc>
          <w:tcPr>
            <w:tcW w:w="4962" w:type="dxa"/>
          </w:tcPr>
          <w:p w:rsidR="002049E2" w:rsidRPr="00E93C8D" w:rsidRDefault="002049E2" w:rsidP="003E124E">
            <w:pPr>
              <w:widowControl w:val="0"/>
              <w:autoSpaceDE w:val="0"/>
              <w:autoSpaceDN w:val="0"/>
              <w:adjustRightInd w:val="0"/>
              <w:rPr>
                <w:b/>
                <w:bCs/>
                <w:sz w:val="20"/>
              </w:rPr>
            </w:pPr>
          </w:p>
          <w:p w:rsidR="002049E2" w:rsidRPr="00E93C8D" w:rsidRDefault="002049E2" w:rsidP="003E124E">
            <w:pPr>
              <w:widowControl w:val="0"/>
              <w:autoSpaceDE w:val="0"/>
              <w:autoSpaceDN w:val="0"/>
              <w:adjustRightInd w:val="0"/>
              <w:rPr>
                <w:b/>
                <w:bCs/>
                <w:sz w:val="20"/>
                <w:lang w:val="ru-RU"/>
              </w:rPr>
            </w:pPr>
            <w:r w:rsidRPr="00E93C8D">
              <w:rPr>
                <w:b/>
                <w:bCs/>
                <w:sz w:val="20"/>
                <w:lang w:val="ru-RU"/>
              </w:rPr>
              <w:t>СОГЛАШЕНИЕ</w:t>
            </w:r>
            <w:r w:rsidRPr="00E93C8D">
              <w:rPr>
                <w:b/>
                <w:bCs/>
                <w:sz w:val="20"/>
              </w:rPr>
              <w:t xml:space="preserve"> </w:t>
            </w:r>
            <w:r w:rsidRPr="00E93C8D">
              <w:rPr>
                <w:b/>
                <w:bCs/>
                <w:sz w:val="20"/>
                <w:lang w:val="ru-RU"/>
              </w:rPr>
              <w:t xml:space="preserve">№ </w:t>
            </w:r>
            <w:r w:rsidR="00D364F2" w:rsidRPr="00E93C8D">
              <w:rPr>
                <w:b/>
                <w:bCs/>
                <w:sz w:val="20"/>
              </w:rPr>
              <w:t>Tax/2016/43236</w:t>
            </w:r>
          </w:p>
          <w:p w:rsidR="002049E2" w:rsidRPr="00E93C8D" w:rsidRDefault="002049E2" w:rsidP="003E124E">
            <w:pPr>
              <w:widowControl w:val="0"/>
              <w:autoSpaceDE w:val="0"/>
              <w:autoSpaceDN w:val="0"/>
              <w:adjustRightInd w:val="0"/>
              <w:rPr>
                <w:sz w:val="20"/>
              </w:rPr>
            </w:pPr>
          </w:p>
          <w:p w:rsidR="002049E2" w:rsidRPr="00E93C8D" w:rsidRDefault="00F66861" w:rsidP="003E124E">
            <w:pPr>
              <w:widowControl w:val="0"/>
              <w:autoSpaceDE w:val="0"/>
              <w:autoSpaceDN w:val="0"/>
              <w:adjustRightInd w:val="0"/>
              <w:rPr>
                <w:bCs/>
                <w:sz w:val="20"/>
                <w:lang w:val="ru-RU"/>
              </w:rPr>
            </w:pPr>
            <w:r w:rsidRPr="00E93C8D">
              <w:rPr>
                <w:bCs/>
                <w:sz w:val="20"/>
              </w:rPr>
              <w:t xml:space="preserve">“21” </w:t>
            </w:r>
            <w:r w:rsidRPr="00E93C8D">
              <w:rPr>
                <w:bCs/>
                <w:sz w:val="20"/>
                <w:lang w:val="ru-RU"/>
              </w:rPr>
              <w:t>декабря</w:t>
            </w:r>
            <w:r w:rsidRPr="00E93C8D">
              <w:rPr>
                <w:bCs/>
                <w:sz w:val="20"/>
              </w:rPr>
              <w:t xml:space="preserve"> 2016</w:t>
            </w:r>
            <w:r w:rsidR="00D364F2" w:rsidRPr="00E93C8D">
              <w:rPr>
                <w:bCs/>
                <w:sz w:val="20"/>
                <w:lang w:val="ru-RU"/>
              </w:rPr>
              <w:t xml:space="preserve"> г.</w:t>
            </w:r>
          </w:p>
          <w:p w:rsidR="002049E2" w:rsidRPr="00E93C8D" w:rsidRDefault="002049E2" w:rsidP="003E124E">
            <w:pPr>
              <w:widowControl w:val="0"/>
              <w:autoSpaceDE w:val="0"/>
              <w:autoSpaceDN w:val="0"/>
              <w:adjustRightInd w:val="0"/>
              <w:rPr>
                <w:sz w:val="20"/>
              </w:rPr>
            </w:pPr>
          </w:p>
        </w:tc>
      </w:tr>
    </w:tbl>
    <w:tbl>
      <w:tblPr>
        <w:tblStyle w:val="af2"/>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70" w:type="dxa"/>
          <w:bottom w:w="113" w:type="dxa"/>
          <w:right w:w="170" w:type="dxa"/>
        </w:tblCellMar>
        <w:tblLook w:val="04A0" w:firstRow="1" w:lastRow="0" w:firstColumn="1" w:lastColumn="0" w:noHBand="0" w:noVBand="1"/>
      </w:tblPr>
      <w:tblGrid>
        <w:gridCol w:w="4820"/>
        <w:gridCol w:w="4962"/>
      </w:tblGrid>
      <w:tr w:rsidR="00E93C8D" w:rsidRPr="00736676" w:rsidTr="00ED7EC7">
        <w:tc>
          <w:tcPr>
            <w:tcW w:w="4820" w:type="dxa"/>
          </w:tcPr>
          <w:p w:rsidR="00E4366F" w:rsidRPr="00E93C8D" w:rsidRDefault="00E4366F" w:rsidP="00356228">
            <w:pPr>
              <w:widowControl w:val="0"/>
              <w:spacing w:after="120"/>
              <w:rPr>
                <w:rFonts w:eastAsia="MS Mincho"/>
                <w:sz w:val="20"/>
              </w:rPr>
            </w:pPr>
            <w:r w:rsidRPr="00E93C8D">
              <w:rPr>
                <w:b/>
                <w:sz w:val="20"/>
              </w:rPr>
              <w:t xml:space="preserve">“Deloitte Consulting” LLC, </w:t>
            </w:r>
            <w:r w:rsidRPr="00E93C8D">
              <w:rPr>
                <w:sz w:val="20"/>
              </w:rPr>
              <w:t>legal entity duly incorporated and existing under the laws of Russia</w:t>
            </w:r>
            <w:r w:rsidRPr="00E93C8D">
              <w:rPr>
                <w:b/>
                <w:sz w:val="20"/>
              </w:rPr>
              <w:t xml:space="preserve"> </w:t>
            </w:r>
            <w:r w:rsidRPr="00E93C8D">
              <w:rPr>
                <w:sz w:val="20"/>
              </w:rPr>
              <w:t>(“</w:t>
            </w:r>
            <w:r w:rsidRPr="00E93C8D">
              <w:rPr>
                <w:b/>
                <w:sz w:val="20"/>
              </w:rPr>
              <w:t>Deloitte</w:t>
            </w:r>
            <w:r w:rsidRPr="00E93C8D">
              <w:rPr>
                <w:sz w:val="20"/>
              </w:rPr>
              <w:t xml:space="preserve">”), and </w:t>
            </w:r>
          </w:p>
        </w:tc>
        <w:tc>
          <w:tcPr>
            <w:tcW w:w="4962" w:type="dxa"/>
          </w:tcPr>
          <w:p w:rsidR="00E4366F" w:rsidRPr="00E93C8D" w:rsidRDefault="00E4366F" w:rsidP="00005DE6">
            <w:pPr>
              <w:widowControl w:val="0"/>
              <w:spacing w:after="120"/>
              <w:rPr>
                <w:rFonts w:eastAsia="MS Mincho"/>
                <w:sz w:val="20"/>
                <w:lang w:val="ru-RU"/>
              </w:rPr>
            </w:pPr>
            <w:r w:rsidRPr="00E93C8D">
              <w:rPr>
                <w:rFonts w:eastAsia="MS Mincho"/>
                <w:b/>
                <w:sz w:val="20"/>
                <w:lang w:val="ru-RU"/>
              </w:rPr>
              <w:t xml:space="preserve">ООО «Делойт Консалтинг», </w:t>
            </w:r>
            <w:r w:rsidRPr="00E93C8D">
              <w:rPr>
                <w:rFonts w:eastAsia="MS Mincho"/>
                <w:sz w:val="20"/>
                <w:lang w:val="ru-RU"/>
              </w:rPr>
              <w:t>юридическое лицо, созданное и действующее в соответствии с законодательством России («</w:t>
            </w:r>
            <w:r w:rsidRPr="00E93C8D">
              <w:rPr>
                <w:rFonts w:eastAsia="MS Mincho"/>
                <w:b/>
                <w:sz w:val="20"/>
                <w:lang w:val="ru-RU"/>
              </w:rPr>
              <w:t>Делойт</w:t>
            </w:r>
            <w:r w:rsidRPr="00E93C8D">
              <w:rPr>
                <w:rFonts w:eastAsia="MS Mincho"/>
                <w:sz w:val="20"/>
                <w:lang w:val="ru-RU"/>
              </w:rPr>
              <w:t>») и</w:t>
            </w:r>
            <w:r w:rsidRPr="00E93C8D">
              <w:rPr>
                <w:sz w:val="20"/>
                <w:lang w:val="ru-RU"/>
              </w:rPr>
              <w:t xml:space="preserve"> </w:t>
            </w:r>
          </w:p>
        </w:tc>
      </w:tr>
      <w:tr w:rsidR="00E93C8D" w:rsidRPr="00736676" w:rsidTr="00ED7EC7">
        <w:tc>
          <w:tcPr>
            <w:tcW w:w="4820" w:type="dxa"/>
          </w:tcPr>
          <w:p w:rsidR="00C312D8" w:rsidRPr="00C312D8" w:rsidRDefault="00F66861" w:rsidP="00C312D8">
            <w:pPr>
              <w:widowControl w:val="0"/>
              <w:spacing w:after="120"/>
              <w:rPr>
                <w:sz w:val="20"/>
              </w:rPr>
            </w:pPr>
            <w:r w:rsidRPr="00E93C8D">
              <w:rPr>
                <w:b/>
                <w:sz w:val="20"/>
              </w:rPr>
              <w:t>“NOVOROSSIYSK COMMERCIAL SEA PORT”, PJSC</w:t>
            </w:r>
            <w:r w:rsidR="00E4366F" w:rsidRPr="00E93C8D">
              <w:rPr>
                <w:sz w:val="20"/>
              </w:rPr>
              <w:t xml:space="preserve">, a legal entity duly incorporated and existing under the laws of  </w:t>
            </w:r>
            <w:r w:rsidRPr="00E93C8D">
              <w:rPr>
                <w:b/>
                <w:sz w:val="20"/>
              </w:rPr>
              <w:t>Russian Federation</w:t>
            </w:r>
            <w:r w:rsidR="00E4366F" w:rsidRPr="00E93C8D">
              <w:rPr>
                <w:sz w:val="20"/>
              </w:rPr>
              <w:t xml:space="preserve"> (the “</w:t>
            </w:r>
            <w:r w:rsidR="00E4366F" w:rsidRPr="00E93C8D">
              <w:rPr>
                <w:b/>
                <w:sz w:val="20"/>
              </w:rPr>
              <w:t>Client”</w:t>
            </w:r>
            <w:r w:rsidR="00E4366F" w:rsidRPr="00E93C8D">
              <w:rPr>
                <w:sz w:val="20"/>
              </w:rPr>
              <w:t xml:space="preserve">), represented by </w:t>
            </w:r>
            <w:r w:rsidR="00C312D8" w:rsidRPr="00C312D8">
              <w:rPr>
                <w:sz w:val="20"/>
              </w:rPr>
              <w:t>Director for legal support – head of legal services group of companies PJSC "NCSP" Borovok E.V., acting on the basis of the power of attorney № 2110-07/424  dated 25.12.2015</w:t>
            </w:r>
            <w:r w:rsidR="00C312D8">
              <w:rPr>
                <w:sz w:val="20"/>
              </w:rPr>
              <w:t>,</w:t>
            </w:r>
          </w:p>
          <w:p w:rsidR="00E4366F" w:rsidRPr="00E93C8D" w:rsidRDefault="00E4366F" w:rsidP="00F66861">
            <w:pPr>
              <w:widowControl w:val="0"/>
              <w:spacing w:after="120"/>
              <w:rPr>
                <w:rFonts w:eastAsia="MS Mincho"/>
                <w:sz w:val="20"/>
              </w:rPr>
            </w:pPr>
          </w:p>
        </w:tc>
        <w:tc>
          <w:tcPr>
            <w:tcW w:w="4962" w:type="dxa"/>
          </w:tcPr>
          <w:p w:rsidR="00B35DCC" w:rsidRPr="00E93C8D" w:rsidRDefault="00F66861" w:rsidP="00AB0A1F">
            <w:pPr>
              <w:widowControl w:val="0"/>
              <w:spacing w:after="120"/>
              <w:rPr>
                <w:rFonts w:eastAsia="MS Mincho"/>
                <w:sz w:val="20"/>
                <w:lang w:val="ru-RU"/>
              </w:rPr>
            </w:pPr>
            <w:r w:rsidRPr="00E93C8D">
              <w:rPr>
                <w:rFonts w:eastAsia="MS Mincho"/>
                <w:b/>
                <w:sz w:val="20"/>
                <w:lang w:val="ru-RU"/>
              </w:rPr>
              <w:t>ПАО «НОВОРОССИЙСКИЙ МОРСКОЙ ТОРГОВЫЙ ПОРТ»</w:t>
            </w:r>
            <w:r w:rsidR="00E4366F" w:rsidRPr="00E93C8D">
              <w:rPr>
                <w:rFonts w:eastAsia="MS Mincho"/>
                <w:sz w:val="20"/>
                <w:lang w:val="ru-RU"/>
              </w:rPr>
              <w:t xml:space="preserve">, юридическое лицо, созданное и действующее в соответствии с законодательством </w:t>
            </w:r>
            <w:r w:rsidRPr="00E93C8D">
              <w:rPr>
                <w:rFonts w:eastAsia="MS Mincho"/>
                <w:b/>
                <w:sz w:val="20"/>
                <w:lang w:val="ru-RU"/>
              </w:rPr>
              <w:t>Российской Федерации</w:t>
            </w:r>
            <w:r w:rsidR="00E4366F" w:rsidRPr="00E93C8D">
              <w:rPr>
                <w:rFonts w:eastAsia="MS Mincho"/>
                <w:sz w:val="20"/>
                <w:lang w:val="ru-RU"/>
              </w:rPr>
              <w:t xml:space="preserve"> («</w:t>
            </w:r>
            <w:r w:rsidR="00E4366F" w:rsidRPr="00E93C8D">
              <w:rPr>
                <w:rFonts w:eastAsia="MS Mincho"/>
                <w:b/>
                <w:sz w:val="20"/>
                <w:lang w:val="ru-RU"/>
              </w:rPr>
              <w:t>Клиент</w:t>
            </w:r>
            <w:r w:rsidR="00E4366F" w:rsidRPr="00E93C8D">
              <w:rPr>
                <w:rFonts w:eastAsia="MS Mincho"/>
                <w:sz w:val="20"/>
                <w:lang w:val="ru-RU"/>
              </w:rPr>
              <w:t>»)</w:t>
            </w:r>
            <w:r w:rsidR="00E4366F" w:rsidRPr="00E93C8D">
              <w:rPr>
                <w:rFonts w:eastAsia="MS Mincho"/>
                <w:sz w:val="20"/>
                <w:lang w:val="ru-RU" w:eastAsia="ja-JP"/>
              </w:rPr>
              <w:t xml:space="preserve"> </w:t>
            </w:r>
            <w:r w:rsidR="00E4366F" w:rsidRPr="00E93C8D">
              <w:rPr>
                <w:rFonts w:eastAsia="MS Mincho"/>
                <w:sz w:val="20"/>
                <w:lang w:val="ru-RU"/>
              </w:rPr>
              <w:t xml:space="preserve">в лице </w:t>
            </w:r>
            <w:r w:rsidR="00AB0A1F" w:rsidRPr="00E93C8D">
              <w:rPr>
                <w:rFonts w:eastAsia="MS Mincho"/>
                <w:sz w:val="20"/>
                <w:lang w:val="ru-RU" w:eastAsia="ja-JP"/>
              </w:rPr>
              <w:t>Директора по правовому обеспечению – руководителя юридических служб группы компаний ПАО «НМТП» Боровка Эдуарда Валерьевича,  действующего на основании Доверенности № 2110-07/424 от 25.12.2015 года,</w:t>
            </w:r>
            <w:r w:rsidR="00E4366F" w:rsidRPr="00E93C8D">
              <w:rPr>
                <w:rFonts w:eastAsia="MS Mincho"/>
                <w:sz w:val="20"/>
                <w:lang w:val="ru-RU"/>
              </w:rPr>
              <w:t xml:space="preserve"> </w:t>
            </w:r>
          </w:p>
        </w:tc>
      </w:tr>
    </w:tbl>
    <w:tbl>
      <w:tblPr>
        <w:tblW w:w="9782" w:type="dxa"/>
        <w:tblInd w:w="-284" w:type="dxa"/>
        <w:tblLayout w:type="fixed"/>
        <w:tblLook w:val="01E0" w:firstRow="1" w:lastRow="1" w:firstColumn="1" w:lastColumn="1" w:noHBand="0" w:noVBand="0"/>
      </w:tblPr>
      <w:tblGrid>
        <w:gridCol w:w="4821"/>
        <w:gridCol w:w="4961"/>
      </w:tblGrid>
      <w:tr w:rsidR="00E93C8D" w:rsidRPr="00736676" w:rsidTr="00ED7EC7">
        <w:tc>
          <w:tcPr>
            <w:tcW w:w="4820" w:type="dxa"/>
          </w:tcPr>
          <w:p w:rsidR="00B35DCC" w:rsidRPr="00E93C8D" w:rsidRDefault="00B35DCC" w:rsidP="005F1E15">
            <w:pPr>
              <w:widowControl w:val="0"/>
              <w:tabs>
                <w:tab w:val="left" w:pos="193"/>
              </w:tabs>
              <w:autoSpaceDE w:val="0"/>
              <w:autoSpaceDN w:val="0"/>
              <w:adjustRightInd w:val="0"/>
              <w:spacing w:after="120"/>
              <w:rPr>
                <w:sz w:val="20"/>
              </w:rPr>
            </w:pPr>
            <w:r w:rsidRPr="00E93C8D">
              <w:rPr>
                <w:sz w:val="20"/>
              </w:rPr>
              <w:t>individually referred to as a "Party" and collectively as the "Parties",</w:t>
            </w:r>
          </w:p>
        </w:tc>
        <w:tc>
          <w:tcPr>
            <w:tcW w:w="4962" w:type="dxa"/>
          </w:tcPr>
          <w:p w:rsidR="00B35DCC" w:rsidRPr="00E93C8D" w:rsidRDefault="00B35DCC" w:rsidP="005F1E15">
            <w:pPr>
              <w:widowControl w:val="0"/>
              <w:autoSpaceDE w:val="0"/>
              <w:autoSpaceDN w:val="0"/>
              <w:adjustRightInd w:val="0"/>
              <w:spacing w:after="120"/>
              <w:rPr>
                <w:rFonts w:eastAsia="MS Mincho"/>
                <w:sz w:val="20"/>
                <w:lang w:val="ru-RU"/>
              </w:rPr>
            </w:pPr>
            <w:r w:rsidRPr="00E93C8D">
              <w:rPr>
                <w:rFonts w:eastAsia="MS Mincho"/>
                <w:sz w:val="20"/>
                <w:lang w:val="ru-RU"/>
              </w:rPr>
              <w:t xml:space="preserve">отдельно именуемые «Сторона», а совместно </w:t>
            </w:r>
            <w:r w:rsidR="00E37DE4" w:rsidRPr="00E93C8D">
              <w:rPr>
                <w:rFonts w:eastAsia="MS Mincho"/>
                <w:sz w:val="20"/>
                <w:lang w:val="ru-RU"/>
              </w:rPr>
              <w:t>– «</w:t>
            </w:r>
            <w:r w:rsidRPr="00E93C8D">
              <w:rPr>
                <w:rFonts w:eastAsia="MS Mincho"/>
                <w:sz w:val="20"/>
                <w:lang w:val="ru-RU"/>
              </w:rPr>
              <w:t>Стороны»,</w:t>
            </w:r>
          </w:p>
        </w:tc>
      </w:tr>
      <w:tr w:rsidR="00E93C8D" w:rsidRPr="00736676" w:rsidTr="00ED7EC7">
        <w:tc>
          <w:tcPr>
            <w:tcW w:w="4820" w:type="dxa"/>
          </w:tcPr>
          <w:p w:rsidR="00B35DCC" w:rsidRPr="00E93C8D" w:rsidRDefault="00B35DCC" w:rsidP="005F1E15">
            <w:pPr>
              <w:widowControl w:val="0"/>
              <w:tabs>
                <w:tab w:val="left" w:pos="193"/>
              </w:tabs>
              <w:autoSpaceDE w:val="0"/>
              <w:autoSpaceDN w:val="0"/>
              <w:adjustRightInd w:val="0"/>
              <w:spacing w:after="120"/>
              <w:rPr>
                <w:sz w:val="20"/>
              </w:rPr>
            </w:pPr>
            <w:r w:rsidRPr="00E93C8D">
              <w:rPr>
                <w:sz w:val="20"/>
              </w:rPr>
              <w:t xml:space="preserve">have entered into the present </w:t>
            </w:r>
            <w:r w:rsidR="00E37DE4" w:rsidRPr="00E93C8D">
              <w:rPr>
                <w:sz w:val="20"/>
              </w:rPr>
              <w:t>Engagement</w:t>
            </w:r>
            <w:r w:rsidRPr="00E93C8D">
              <w:rPr>
                <w:sz w:val="20"/>
              </w:rPr>
              <w:t xml:space="preserve"> Letter (the "</w:t>
            </w:r>
            <w:r w:rsidR="00E37DE4" w:rsidRPr="00E93C8D">
              <w:rPr>
                <w:sz w:val="20"/>
              </w:rPr>
              <w:t>Engagement</w:t>
            </w:r>
            <w:r w:rsidRPr="00E93C8D">
              <w:rPr>
                <w:sz w:val="20"/>
              </w:rPr>
              <w:t xml:space="preserve"> Letter") as follows:</w:t>
            </w:r>
          </w:p>
        </w:tc>
        <w:tc>
          <w:tcPr>
            <w:tcW w:w="4962" w:type="dxa"/>
          </w:tcPr>
          <w:p w:rsidR="00B35DCC" w:rsidRPr="00E93C8D" w:rsidRDefault="00B35DCC" w:rsidP="005F1E15">
            <w:pPr>
              <w:widowControl w:val="0"/>
              <w:autoSpaceDE w:val="0"/>
              <w:autoSpaceDN w:val="0"/>
              <w:adjustRightInd w:val="0"/>
              <w:spacing w:after="120"/>
              <w:rPr>
                <w:rFonts w:eastAsia="MS Mincho"/>
                <w:sz w:val="20"/>
                <w:lang w:val="ru-RU"/>
              </w:rPr>
            </w:pPr>
            <w:r w:rsidRPr="00E93C8D">
              <w:rPr>
                <w:rFonts w:eastAsia="MS Mincho"/>
                <w:sz w:val="20"/>
                <w:lang w:val="ru-RU"/>
              </w:rPr>
              <w:t>заключили настоящее Соглашение («Соглашение») о нижеследующем:</w:t>
            </w:r>
          </w:p>
        </w:tc>
      </w:tr>
      <w:tr w:rsidR="00E93C8D" w:rsidRPr="00736676" w:rsidTr="00ED7EC7">
        <w:tc>
          <w:tcPr>
            <w:tcW w:w="4820" w:type="dxa"/>
          </w:tcPr>
          <w:p w:rsidR="00B35DCC" w:rsidRPr="00E93C8D" w:rsidRDefault="00B35DCC" w:rsidP="005F1E15">
            <w:pPr>
              <w:widowControl w:val="0"/>
              <w:tabs>
                <w:tab w:val="left" w:pos="193"/>
              </w:tabs>
              <w:autoSpaceDE w:val="0"/>
              <w:autoSpaceDN w:val="0"/>
              <w:adjustRightInd w:val="0"/>
              <w:spacing w:after="120"/>
              <w:rPr>
                <w:sz w:val="20"/>
              </w:rPr>
            </w:pPr>
            <w:r w:rsidRPr="00E93C8D">
              <w:rPr>
                <w:sz w:val="20"/>
              </w:rPr>
              <w:t>This Engagement Letter together with the appended (Appendix No. 1) Standard Tax Terms for Russia (“Standard Tax Terms”) governs and defines the terms upon which the services are rendered. This Engagement Letter and Standard Tax Terms together comprise the Contract</w:t>
            </w:r>
            <w:r w:rsidRPr="00E93C8D">
              <w:rPr>
                <w:b/>
                <w:sz w:val="20"/>
              </w:rPr>
              <w:t>.</w:t>
            </w:r>
          </w:p>
        </w:tc>
        <w:tc>
          <w:tcPr>
            <w:tcW w:w="4962" w:type="dxa"/>
          </w:tcPr>
          <w:p w:rsidR="00B35DCC" w:rsidRPr="00E93C8D" w:rsidRDefault="00B35DCC" w:rsidP="005F1E15">
            <w:pPr>
              <w:widowControl w:val="0"/>
              <w:tabs>
                <w:tab w:val="left" w:pos="193"/>
              </w:tabs>
              <w:autoSpaceDE w:val="0"/>
              <w:autoSpaceDN w:val="0"/>
              <w:adjustRightInd w:val="0"/>
              <w:spacing w:after="120"/>
              <w:rPr>
                <w:sz w:val="20"/>
                <w:lang w:val="ru-RU"/>
              </w:rPr>
            </w:pPr>
            <w:r w:rsidRPr="00E93C8D">
              <w:rPr>
                <w:sz w:val="20"/>
                <w:lang w:val="ru-RU"/>
              </w:rPr>
              <w:t>Настоящее Соглашение регулируется положениями Общих условий оказания услуг в Российской Федерации, изложенных в Приложении № 1 («Общие условия») и являющихся его неотъемлемой частью. Услуги будут оказаны в соответствии с положениями настоящего Соглашения и Общими условиями, которые вместе образуют Договор.</w:t>
            </w:r>
          </w:p>
        </w:tc>
      </w:tr>
      <w:tr w:rsidR="00E93C8D" w:rsidRPr="00E93C8D" w:rsidTr="00ED7EC7">
        <w:tc>
          <w:tcPr>
            <w:tcW w:w="4820" w:type="dxa"/>
          </w:tcPr>
          <w:p w:rsidR="00B35DCC" w:rsidRPr="00E93C8D" w:rsidRDefault="00F84933" w:rsidP="005F1E15">
            <w:pPr>
              <w:pStyle w:val="1"/>
              <w:keepNext w:val="0"/>
              <w:widowControl w:val="0"/>
              <w:numPr>
                <w:ilvl w:val="0"/>
                <w:numId w:val="0"/>
              </w:numPr>
              <w:spacing w:after="120"/>
              <w:ind w:left="510" w:hanging="510"/>
              <w:rPr>
                <w:sz w:val="20"/>
                <w:lang w:val="ru-RU"/>
              </w:rPr>
            </w:pPr>
            <w:r w:rsidRPr="00E93C8D">
              <w:rPr>
                <w:sz w:val="20"/>
              </w:rPr>
              <w:t>1</w:t>
            </w:r>
            <w:r w:rsidR="00B35DCC" w:rsidRPr="00E93C8D">
              <w:rPr>
                <w:sz w:val="20"/>
                <w:lang w:val="ru-RU"/>
              </w:rPr>
              <w:t xml:space="preserve">. </w:t>
            </w:r>
            <w:r w:rsidR="00B35DCC" w:rsidRPr="00E93C8D">
              <w:rPr>
                <w:sz w:val="20"/>
              </w:rPr>
              <w:t>Scope of Our Services</w:t>
            </w:r>
          </w:p>
        </w:tc>
        <w:tc>
          <w:tcPr>
            <w:tcW w:w="4962" w:type="dxa"/>
          </w:tcPr>
          <w:p w:rsidR="00B35DCC" w:rsidRPr="00E93C8D" w:rsidRDefault="00F84933" w:rsidP="005F1E15">
            <w:pPr>
              <w:pStyle w:val="1"/>
              <w:keepNext w:val="0"/>
              <w:widowControl w:val="0"/>
              <w:numPr>
                <w:ilvl w:val="0"/>
                <w:numId w:val="0"/>
              </w:numPr>
              <w:spacing w:after="120"/>
              <w:ind w:left="510" w:hanging="510"/>
              <w:rPr>
                <w:sz w:val="20"/>
                <w:lang w:val="ru-RU"/>
              </w:rPr>
            </w:pPr>
            <w:r w:rsidRPr="00E93C8D">
              <w:rPr>
                <w:sz w:val="20"/>
              </w:rPr>
              <w:t>1</w:t>
            </w:r>
            <w:r w:rsidR="00B35DCC" w:rsidRPr="00E93C8D">
              <w:rPr>
                <w:sz w:val="20"/>
                <w:lang w:val="ru-RU"/>
              </w:rPr>
              <w:t>. Объем услуг</w:t>
            </w:r>
          </w:p>
        </w:tc>
      </w:tr>
      <w:tr w:rsidR="00E93C8D" w:rsidRPr="00736676" w:rsidTr="00ED7EC7">
        <w:tc>
          <w:tcPr>
            <w:tcW w:w="4820" w:type="dxa"/>
          </w:tcPr>
          <w:p w:rsidR="00B35DCC" w:rsidRPr="00E93C8D" w:rsidRDefault="00F84933" w:rsidP="005F1E15">
            <w:pPr>
              <w:widowControl w:val="0"/>
              <w:tabs>
                <w:tab w:val="num" w:pos="1440"/>
              </w:tabs>
              <w:spacing w:after="120"/>
              <w:rPr>
                <w:sz w:val="20"/>
                <w:lang w:val="en-GB"/>
              </w:rPr>
            </w:pPr>
            <w:r w:rsidRPr="00E93C8D">
              <w:rPr>
                <w:sz w:val="20"/>
              </w:rPr>
              <w:t>1</w:t>
            </w:r>
            <w:r w:rsidR="00B35DCC" w:rsidRPr="00E93C8D">
              <w:rPr>
                <w:sz w:val="20"/>
              </w:rPr>
              <w:t>.1. The Client hereby appoints Deloitte, and Deloitte hereby undertakes to provide tax and legal consulting services to the Client</w:t>
            </w:r>
            <w:r w:rsidR="00B35DCC" w:rsidRPr="00E93C8D">
              <w:rPr>
                <w:sz w:val="20"/>
                <w:lang w:val="en-GB"/>
              </w:rPr>
              <w:t xml:space="preserve"> </w:t>
            </w:r>
            <w:r w:rsidR="00B35DCC" w:rsidRPr="00E93C8D">
              <w:rPr>
                <w:sz w:val="20"/>
              </w:rPr>
              <w:t xml:space="preserve">subject to the limitations, terms and provisions stated herein (the “Services”). </w:t>
            </w:r>
            <w:r w:rsidR="00B35DCC" w:rsidRPr="00E93C8D">
              <w:rPr>
                <w:sz w:val="20"/>
                <w:lang w:val="en-GB"/>
              </w:rPr>
              <w:t>The Services shall be provided in writing and/or verbally, in accordance with the requirements of the Client, based on the Client’s written and/or verbal requests.</w:t>
            </w:r>
          </w:p>
        </w:tc>
        <w:tc>
          <w:tcPr>
            <w:tcW w:w="4962" w:type="dxa"/>
          </w:tcPr>
          <w:p w:rsidR="00B35DCC" w:rsidRPr="00E93C8D" w:rsidRDefault="00F84933" w:rsidP="00F21B22">
            <w:pPr>
              <w:widowControl w:val="0"/>
              <w:spacing w:after="120"/>
              <w:rPr>
                <w:sz w:val="20"/>
                <w:lang w:val="ru-RU"/>
              </w:rPr>
            </w:pPr>
            <w:r w:rsidRPr="00E93C8D">
              <w:rPr>
                <w:sz w:val="20"/>
                <w:lang w:val="ru-RU"/>
              </w:rPr>
              <w:t>1</w:t>
            </w:r>
            <w:r w:rsidR="00B35DCC" w:rsidRPr="00E93C8D">
              <w:rPr>
                <w:sz w:val="20"/>
                <w:lang w:val="ru-RU"/>
              </w:rPr>
              <w:t xml:space="preserve">.1. Клиент настоящим уполномочивает </w:t>
            </w:r>
            <w:r w:rsidR="00F21B22" w:rsidRPr="00E93C8D">
              <w:rPr>
                <w:sz w:val="20"/>
                <w:lang w:val="ru-RU"/>
              </w:rPr>
              <w:t>Делойт</w:t>
            </w:r>
            <w:r w:rsidR="00B35DCC" w:rsidRPr="00E93C8D">
              <w:rPr>
                <w:sz w:val="20"/>
                <w:lang w:val="ru-RU"/>
              </w:rPr>
              <w:t xml:space="preserve">, а </w:t>
            </w:r>
            <w:r w:rsidR="00F21B22" w:rsidRPr="00E93C8D">
              <w:rPr>
                <w:sz w:val="20"/>
                <w:lang w:val="ru-RU"/>
              </w:rPr>
              <w:t>Делойт</w:t>
            </w:r>
            <w:r w:rsidR="00B35DCC" w:rsidRPr="00E93C8D">
              <w:rPr>
                <w:sz w:val="20"/>
                <w:lang w:val="ru-RU"/>
              </w:rPr>
              <w:t xml:space="preserve"> настоящим обязуется предоставить Клиенту консультационные услуги в области налогообложения и права («Услуги») в соответствии с положениями настоящего Соглашения. Услуги оказываются в письменной и/или устной форме в соответствии с пожеланиями Клиента на основе его письменных и/или устных запросов. </w:t>
            </w:r>
          </w:p>
        </w:tc>
      </w:tr>
      <w:tr w:rsidR="00E93C8D" w:rsidRPr="00736676" w:rsidTr="00ED7EC7">
        <w:tc>
          <w:tcPr>
            <w:tcW w:w="4820" w:type="dxa"/>
          </w:tcPr>
          <w:p w:rsidR="00B35DCC" w:rsidRPr="00E93C8D" w:rsidRDefault="00F84933" w:rsidP="005F1E15">
            <w:pPr>
              <w:widowControl w:val="0"/>
              <w:tabs>
                <w:tab w:val="num" w:pos="1440"/>
              </w:tabs>
              <w:spacing w:after="120" w:line="240" w:lineRule="atLeast"/>
              <w:rPr>
                <w:sz w:val="20"/>
              </w:rPr>
            </w:pPr>
            <w:r w:rsidRPr="00E93C8D">
              <w:rPr>
                <w:sz w:val="20"/>
              </w:rPr>
              <w:t>1</w:t>
            </w:r>
            <w:r w:rsidR="00B35DCC" w:rsidRPr="00E93C8D">
              <w:rPr>
                <w:sz w:val="20"/>
              </w:rPr>
              <w:t xml:space="preserve">.2. The Parties shall agree upon the details of </w:t>
            </w:r>
            <w:r w:rsidR="00E37DE4" w:rsidRPr="00E93C8D">
              <w:rPr>
                <w:sz w:val="20"/>
              </w:rPr>
              <w:t>the Services</w:t>
            </w:r>
            <w:r w:rsidR="00B35DCC" w:rsidRPr="00E93C8D">
              <w:rPr>
                <w:sz w:val="20"/>
              </w:rPr>
              <w:t>, their price and terms by signing addendums to this Engagement Letter. The Parties may also agree upon the details of the Services, their price and terms by fax or e-mails.</w:t>
            </w:r>
          </w:p>
        </w:tc>
        <w:tc>
          <w:tcPr>
            <w:tcW w:w="4962" w:type="dxa"/>
          </w:tcPr>
          <w:p w:rsidR="00B35DCC" w:rsidRPr="00E93C8D" w:rsidRDefault="00F84933" w:rsidP="005F1E15">
            <w:pPr>
              <w:widowControl w:val="0"/>
              <w:spacing w:after="120"/>
              <w:rPr>
                <w:sz w:val="20"/>
                <w:lang w:val="ru-RU"/>
              </w:rPr>
            </w:pPr>
            <w:r w:rsidRPr="00E93C8D">
              <w:rPr>
                <w:noProof/>
                <w:sz w:val="20"/>
                <w:lang w:val="ru-RU"/>
              </w:rPr>
              <w:t>1</w:t>
            </w:r>
            <w:r w:rsidR="00B35DCC" w:rsidRPr="00E93C8D">
              <w:rPr>
                <w:noProof/>
                <w:sz w:val="20"/>
                <w:lang w:val="ru-RU"/>
              </w:rPr>
              <w:t xml:space="preserve">.2. Стороны обязуются согласовывать конкретные виды Услуг, их цену и сроки исполнения </w:t>
            </w:r>
            <w:r w:rsidR="00B35DCC" w:rsidRPr="00E93C8D">
              <w:rPr>
                <w:sz w:val="20"/>
                <w:lang w:val="ru-RU"/>
              </w:rPr>
              <w:t xml:space="preserve">посредством заключения </w:t>
            </w:r>
            <w:r w:rsidR="00B35DCC" w:rsidRPr="00E93C8D">
              <w:rPr>
                <w:noProof/>
                <w:sz w:val="20"/>
                <w:lang w:val="ru-RU"/>
              </w:rPr>
              <w:t>дополнительных соглашений к настоящему Соглашению. Стороны могут также согласовывать конкретные виды Услуг, их цену и сроки исполнения в сообщениях, отправляемых по факсу или электронной почте.</w:t>
            </w:r>
          </w:p>
        </w:tc>
      </w:tr>
      <w:tr w:rsidR="00E93C8D" w:rsidRPr="00E93C8D" w:rsidTr="00ED7EC7">
        <w:trPr>
          <w:trHeight w:val="359"/>
        </w:trPr>
        <w:tc>
          <w:tcPr>
            <w:tcW w:w="2464" w:type="pct"/>
          </w:tcPr>
          <w:p w:rsidR="00B35DCC" w:rsidRPr="00E93C8D" w:rsidRDefault="00E336F6" w:rsidP="005F1E15">
            <w:pPr>
              <w:pStyle w:val="1"/>
              <w:keepNext w:val="0"/>
              <w:widowControl w:val="0"/>
              <w:numPr>
                <w:ilvl w:val="0"/>
                <w:numId w:val="0"/>
              </w:numPr>
              <w:spacing w:after="120"/>
              <w:rPr>
                <w:sz w:val="20"/>
                <w:lang w:val="ru-RU"/>
              </w:rPr>
            </w:pPr>
            <w:r w:rsidRPr="00E93C8D">
              <w:rPr>
                <w:sz w:val="20"/>
                <w:lang w:val="ru-RU"/>
              </w:rPr>
              <w:t>2</w:t>
            </w:r>
            <w:r w:rsidR="00B35DCC" w:rsidRPr="00E93C8D">
              <w:rPr>
                <w:sz w:val="20"/>
                <w:lang w:val="ru-RU"/>
              </w:rPr>
              <w:t xml:space="preserve">. </w:t>
            </w:r>
            <w:r w:rsidR="00B35DCC" w:rsidRPr="00E93C8D">
              <w:rPr>
                <w:sz w:val="20"/>
              </w:rPr>
              <w:t>Duration</w:t>
            </w:r>
          </w:p>
        </w:tc>
        <w:tc>
          <w:tcPr>
            <w:tcW w:w="2536" w:type="pct"/>
          </w:tcPr>
          <w:p w:rsidR="00B35DCC" w:rsidRPr="00E93C8D" w:rsidRDefault="00E336F6" w:rsidP="005F1E15">
            <w:pPr>
              <w:pStyle w:val="1"/>
              <w:keepNext w:val="0"/>
              <w:widowControl w:val="0"/>
              <w:numPr>
                <w:ilvl w:val="0"/>
                <w:numId w:val="0"/>
              </w:numPr>
              <w:spacing w:after="120"/>
              <w:ind w:left="510" w:hanging="510"/>
              <w:rPr>
                <w:sz w:val="20"/>
              </w:rPr>
            </w:pPr>
            <w:r w:rsidRPr="00E93C8D">
              <w:rPr>
                <w:sz w:val="20"/>
                <w:lang w:val="ru-RU"/>
              </w:rPr>
              <w:t>2</w:t>
            </w:r>
            <w:r w:rsidR="00B35DCC" w:rsidRPr="00E93C8D">
              <w:rPr>
                <w:sz w:val="20"/>
                <w:lang w:val="ru-RU"/>
              </w:rPr>
              <w:t>. Срок действия</w:t>
            </w:r>
          </w:p>
        </w:tc>
      </w:tr>
      <w:tr w:rsidR="00E93C8D" w:rsidRPr="00E93C8D" w:rsidTr="00ED7EC7">
        <w:tc>
          <w:tcPr>
            <w:tcW w:w="2464" w:type="pct"/>
          </w:tcPr>
          <w:p w:rsidR="00B35DCC" w:rsidRPr="00E93C8D" w:rsidRDefault="00E336F6" w:rsidP="005F1E15">
            <w:pPr>
              <w:pStyle w:val="1"/>
              <w:keepNext w:val="0"/>
              <w:widowControl w:val="0"/>
              <w:numPr>
                <w:ilvl w:val="0"/>
                <w:numId w:val="0"/>
              </w:numPr>
              <w:spacing w:after="120"/>
              <w:rPr>
                <w:b w:val="0"/>
                <w:i w:val="0"/>
                <w:sz w:val="20"/>
              </w:rPr>
            </w:pPr>
            <w:r w:rsidRPr="00E93C8D">
              <w:rPr>
                <w:b w:val="0"/>
                <w:i w:val="0"/>
                <w:sz w:val="20"/>
              </w:rPr>
              <w:t>2</w:t>
            </w:r>
            <w:r w:rsidR="00B35DCC" w:rsidRPr="00E93C8D">
              <w:rPr>
                <w:b w:val="0"/>
                <w:i w:val="0"/>
                <w:sz w:val="20"/>
              </w:rPr>
              <w:t xml:space="preserve">.1. This Engagement Letter is effective from the date of signing by both Parties and shall remain valid for </w:t>
            </w:r>
            <w:r w:rsidR="002240DD" w:rsidRPr="00E93C8D">
              <w:rPr>
                <w:b w:val="0"/>
                <w:i w:val="0"/>
                <w:sz w:val="20"/>
              </w:rPr>
              <w:t>3</w:t>
            </w:r>
            <w:r w:rsidR="00B35DCC" w:rsidRPr="00E93C8D">
              <w:rPr>
                <w:b w:val="0"/>
                <w:i w:val="0"/>
                <w:sz w:val="20"/>
              </w:rPr>
              <w:t xml:space="preserve"> (t</w:t>
            </w:r>
            <w:r w:rsidR="002240DD" w:rsidRPr="00E93C8D">
              <w:rPr>
                <w:b w:val="0"/>
                <w:i w:val="0"/>
                <w:sz w:val="20"/>
              </w:rPr>
              <w:t>hree</w:t>
            </w:r>
            <w:r w:rsidR="00B35DCC" w:rsidRPr="00E93C8D">
              <w:rPr>
                <w:b w:val="0"/>
                <w:i w:val="0"/>
                <w:sz w:val="20"/>
              </w:rPr>
              <w:t>) years.</w:t>
            </w:r>
          </w:p>
          <w:p w:rsidR="00646E60" w:rsidRPr="00E93C8D" w:rsidRDefault="00646E60" w:rsidP="005F1E15">
            <w:pPr>
              <w:widowControl w:val="0"/>
              <w:spacing w:after="120"/>
              <w:rPr>
                <w:sz w:val="20"/>
              </w:rPr>
            </w:pPr>
            <w:r w:rsidRPr="00E93C8D">
              <w:rPr>
                <w:sz w:val="20"/>
              </w:rPr>
              <w:t xml:space="preserve">In the event that </w:t>
            </w:r>
            <w:r w:rsidR="00F21B22" w:rsidRPr="00E93C8D">
              <w:rPr>
                <w:sz w:val="20"/>
              </w:rPr>
              <w:t>Deloitte</w:t>
            </w:r>
            <w:r w:rsidRPr="00E93C8D">
              <w:rPr>
                <w:sz w:val="20"/>
              </w:rPr>
              <w:t xml:space="preserve"> started to render the Services before the date of the present Engagement letter, the provisions of the present Engagement letter shall apply retrospectively from the date </w:t>
            </w:r>
            <w:r w:rsidR="00F21B22" w:rsidRPr="00E93C8D">
              <w:rPr>
                <w:sz w:val="20"/>
              </w:rPr>
              <w:t>Deloitte</w:t>
            </w:r>
            <w:r w:rsidRPr="00E93C8D">
              <w:rPr>
                <w:sz w:val="20"/>
              </w:rPr>
              <w:t xml:space="preserve"> started to render the Services.</w:t>
            </w:r>
          </w:p>
        </w:tc>
        <w:tc>
          <w:tcPr>
            <w:tcW w:w="2536" w:type="pct"/>
          </w:tcPr>
          <w:p w:rsidR="00B35DCC" w:rsidRPr="00E93C8D" w:rsidRDefault="00E336F6" w:rsidP="005F1E15">
            <w:pPr>
              <w:widowControl w:val="0"/>
              <w:spacing w:after="120"/>
              <w:rPr>
                <w:sz w:val="20"/>
                <w:lang w:val="ru-RU"/>
              </w:rPr>
            </w:pPr>
            <w:r w:rsidRPr="00E93C8D">
              <w:rPr>
                <w:sz w:val="20"/>
                <w:lang w:val="ru-RU"/>
              </w:rPr>
              <w:t>2</w:t>
            </w:r>
            <w:r w:rsidR="00B35DCC" w:rsidRPr="00E93C8D">
              <w:rPr>
                <w:sz w:val="20"/>
                <w:lang w:val="ru-RU"/>
              </w:rPr>
              <w:t xml:space="preserve">.1. Настоящее </w:t>
            </w:r>
            <w:r w:rsidR="005B3C73" w:rsidRPr="00E93C8D">
              <w:rPr>
                <w:sz w:val="20"/>
                <w:lang w:val="ru-RU"/>
              </w:rPr>
              <w:t>Соглашение вступает</w:t>
            </w:r>
            <w:r w:rsidR="00B35DCC" w:rsidRPr="00E93C8D">
              <w:rPr>
                <w:sz w:val="20"/>
                <w:lang w:val="ru-RU"/>
              </w:rPr>
              <w:t xml:space="preserve"> в силу с момента его подписания обеими Сторонами, действует в течение </w:t>
            </w:r>
            <w:r w:rsidR="002240DD" w:rsidRPr="00E93C8D">
              <w:rPr>
                <w:sz w:val="20"/>
                <w:lang w:val="ru-RU"/>
              </w:rPr>
              <w:t>3</w:t>
            </w:r>
            <w:r w:rsidR="00B35DCC" w:rsidRPr="00E93C8D">
              <w:rPr>
                <w:sz w:val="20"/>
                <w:lang w:val="ru-RU"/>
              </w:rPr>
              <w:t xml:space="preserve"> (</w:t>
            </w:r>
            <w:r w:rsidR="002240DD" w:rsidRPr="00E93C8D">
              <w:rPr>
                <w:sz w:val="20"/>
                <w:lang w:val="ru-RU"/>
              </w:rPr>
              <w:t>трех</w:t>
            </w:r>
            <w:r w:rsidR="00B35DCC" w:rsidRPr="00E93C8D">
              <w:rPr>
                <w:sz w:val="20"/>
                <w:lang w:val="ru-RU"/>
              </w:rPr>
              <w:t>) лет</w:t>
            </w:r>
            <w:r w:rsidR="002240DD" w:rsidRPr="00E93C8D">
              <w:rPr>
                <w:sz w:val="20"/>
                <w:lang w:val="ru-RU"/>
              </w:rPr>
              <w:t>.</w:t>
            </w:r>
          </w:p>
          <w:p w:rsidR="00B35DCC" w:rsidRPr="00E93C8D" w:rsidRDefault="00646E60" w:rsidP="005F1E15">
            <w:pPr>
              <w:widowControl w:val="0"/>
              <w:spacing w:after="120"/>
              <w:rPr>
                <w:sz w:val="20"/>
                <w:lang w:val="ru-RU"/>
              </w:rPr>
            </w:pPr>
            <w:r w:rsidRPr="00E93C8D">
              <w:rPr>
                <w:sz w:val="20"/>
                <w:lang w:val="ru-RU"/>
              </w:rPr>
              <w:t xml:space="preserve">В случае, если </w:t>
            </w:r>
            <w:r w:rsidR="00F21B22" w:rsidRPr="00E93C8D">
              <w:rPr>
                <w:sz w:val="20"/>
                <w:lang w:val="ru-RU"/>
              </w:rPr>
              <w:t>Делойт</w:t>
            </w:r>
            <w:r w:rsidRPr="00E93C8D">
              <w:rPr>
                <w:sz w:val="20"/>
                <w:lang w:val="ru-RU"/>
              </w:rPr>
              <w:t xml:space="preserve"> приступил к оказанию Услуг ранее момента подписания настоящего Соглашения, положения настоящего Соглашения применяются к отношениям Сторон, возникшим с момента, когда </w:t>
            </w:r>
            <w:r w:rsidR="00F21B22" w:rsidRPr="00E93C8D">
              <w:rPr>
                <w:sz w:val="20"/>
                <w:lang w:val="ru-RU"/>
              </w:rPr>
              <w:t>Делойт</w:t>
            </w:r>
            <w:r w:rsidRPr="00E93C8D">
              <w:rPr>
                <w:sz w:val="20"/>
                <w:lang w:val="ru-RU"/>
              </w:rPr>
              <w:t xml:space="preserve"> приступил к оказанию Услуг.</w:t>
            </w:r>
          </w:p>
          <w:p w:rsidR="004D46F0" w:rsidRPr="00E93C8D" w:rsidRDefault="004D46F0" w:rsidP="005F1E15">
            <w:pPr>
              <w:widowControl w:val="0"/>
              <w:spacing w:after="120"/>
              <w:rPr>
                <w:sz w:val="20"/>
                <w:lang w:val="ru-RU"/>
              </w:rPr>
            </w:pPr>
          </w:p>
        </w:tc>
      </w:tr>
      <w:tr w:rsidR="00E93C8D" w:rsidRPr="00E93C8D" w:rsidTr="00ED7EC7">
        <w:tc>
          <w:tcPr>
            <w:tcW w:w="2464" w:type="pct"/>
          </w:tcPr>
          <w:p w:rsidR="00FF7A8A" w:rsidRPr="00E93C8D" w:rsidRDefault="00E336F6" w:rsidP="005F1E15">
            <w:pPr>
              <w:pStyle w:val="1"/>
              <w:keepNext w:val="0"/>
              <w:widowControl w:val="0"/>
              <w:numPr>
                <w:ilvl w:val="0"/>
                <w:numId w:val="0"/>
              </w:numPr>
              <w:spacing w:after="120"/>
              <w:rPr>
                <w:sz w:val="20"/>
                <w:lang w:val="ru-RU"/>
              </w:rPr>
            </w:pPr>
            <w:r w:rsidRPr="00E93C8D">
              <w:rPr>
                <w:sz w:val="20"/>
                <w:lang w:val="ru-RU"/>
              </w:rPr>
              <w:lastRenderedPageBreak/>
              <w:t>3</w:t>
            </w:r>
            <w:r w:rsidR="00FF7A8A" w:rsidRPr="00E93C8D">
              <w:rPr>
                <w:sz w:val="20"/>
                <w:lang w:val="ru-RU"/>
              </w:rPr>
              <w:t xml:space="preserve">. </w:t>
            </w:r>
            <w:r w:rsidR="00FF7A8A" w:rsidRPr="00E93C8D">
              <w:rPr>
                <w:sz w:val="20"/>
              </w:rPr>
              <w:t>Fees</w:t>
            </w:r>
          </w:p>
        </w:tc>
        <w:tc>
          <w:tcPr>
            <w:tcW w:w="2536" w:type="pct"/>
          </w:tcPr>
          <w:p w:rsidR="00FF7A8A" w:rsidRPr="00E93C8D" w:rsidRDefault="00E336F6" w:rsidP="005F1E15">
            <w:pPr>
              <w:pStyle w:val="1"/>
              <w:keepNext w:val="0"/>
              <w:widowControl w:val="0"/>
              <w:numPr>
                <w:ilvl w:val="0"/>
                <w:numId w:val="0"/>
              </w:numPr>
              <w:spacing w:after="120"/>
              <w:ind w:left="510" w:hanging="510"/>
              <w:rPr>
                <w:sz w:val="20"/>
              </w:rPr>
            </w:pPr>
            <w:r w:rsidRPr="00E93C8D">
              <w:rPr>
                <w:sz w:val="20"/>
                <w:lang w:val="ru-RU"/>
              </w:rPr>
              <w:t>3</w:t>
            </w:r>
            <w:r w:rsidR="00FF7A8A" w:rsidRPr="00E93C8D">
              <w:rPr>
                <w:sz w:val="20"/>
                <w:lang w:val="ru-RU"/>
              </w:rPr>
              <w:t xml:space="preserve">. </w:t>
            </w:r>
            <w:r w:rsidR="00D50025" w:rsidRPr="00E93C8D">
              <w:rPr>
                <w:sz w:val="20"/>
                <w:lang w:val="ru-RU"/>
              </w:rPr>
              <w:t>В</w:t>
            </w:r>
            <w:r w:rsidR="00FF7A8A" w:rsidRPr="00E93C8D">
              <w:rPr>
                <w:sz w:val="20"/>
                <w:lang w:val="ru-RU"/>
              </w:rPr>
              <w:t>ознаграждение</w:t>
            </w:r>
          </w:p>
        </w:tc>
      </w:tr>
      <w:tr w:rsidR="00E93C8D" w:rsidRPr="00736676" w:rsidTr="00ED7EC7">
        <w:tc>
          <w:tcPr>
            <w:tcW w:w="2464" w:type="pct"/>
          </w:tcPr>
          <w:p w:rsidR="00831132" w:rsidRPr="00E93C8D" w:rsidRDefault="00E336F6" w:rsidP="005F1E15">
            <w:pPr>
              <w:widowControl w:val="0"/>
              <w:autoSpaceDE w:val="0"/>
              <w:autoSpaceDN w:val="0"/>
              <w:adjustRightInd w:val="0"/>
              <w:spacing w:after="120"/>
              <w:rPr>
                <w:sz w:val="20"/>
              </w:rPr>
            </w:pPr>
            <w:r w:rsidRPr="00E93C8D">
              <w:rPr>
                <w:sz w:val="20"/>
              </w:rPr>
              <w:t>3</w:t>
            </w:r>
            <w:r w:rsidR="00831132" w:rsidRPr="00E93C8D">
              <w:rPr>
                <w:sz w:val="20"/>
              </w:rPr>
              <w:t>.1. The cost of Services will consist of Deloitte Professional Fee, out-of-pocket expenses (</w:t>
            </w:r>
            <w:r w:rsidR="005B3C73" w:rsidRPr="00E93C8D">
              <w:rPr>
                <w:sz w:val="20"/>
              </w:rPr>
              <w:t>Chargeable</w:t>
            </w:r>
            <w:r w:rsidR="00831132" w:rsidRPr="00E93C8D">
              <w:rPr>
                <w:sz w:val="20"/>
              </w:rPr>
              <w:t>) and overhead expenses (Overheads).</w:t>
            </w:r>
          </w:p>
        </w:tc>
        <w:tc>
          <w:tcPr>
            <w:tcW w:w="2536" w:type="pct"/>
          </w:tcPr>
          <w:p w:rsidR="00831132" w:rsidRPr="00E93C8D" w:rsidRDefault="00E336F6" w:rsidP="005F1E15">
            <w:pPr>
              <w:widowControl w:val="0"/>
              <w:autoSpaceDE w:val="0"/>
              <w:autoSpaceDN w:val="0"/>
              <w:adjustRightInd w:val="0"/>
              <w:spacing w:after="120"/>
              <w:rPr>
                <w:sz w:val="20"/>
                <w:lang w:val="ru-RU"/>
              </w:rPr>
            </w:pPr>
            <w:r w:rsidRPr="00E93C8D">
              <w:rPr>
                <w:sz w:val="20"/>
                <w:lang w:val="ru-RU"/>
              </w:rPr>
              <w:t>3</w:t>
            </w:r>
            <w:r w:rsidR="00831132" w:rsidRPr="00E93C8D">
              <w:rPr>
                <w:sz w:val="20"/>
                <w:lang w:val="ru-RU"/>
              </w:rPr>
              <w:t xml:space="preserve">.1. Стоимость услуг включает в себя Сумму Вознаграждения за Услуги </w:t>
            </w:r>
            <w:r w:rsidR="00F21B22" w:rsidRPr="00E93C8D">
              <w:rPr>
                <w:sz w:val="20"/>
                <w:lang w:val="ru-RU"/>
              </w:rPr>
              <w:t>Делойт</w:t>
            </w:r>
            <w:r w:rsidR="00831132" w:rsidRPr="00E93C8D">
              <w:rPr>
                <w:sz w:val="20"/>
                <w:lang w:val="ru-RU"/>
              </w:rPr>
              <w:t xml:space="preserve">, Дополнительные расходы и Накладные расходы. </w:t>
            </w:r>
          </w:p>
        </w:tc>
      </w:tr>
      <w:tr w:rsidR="00E93C8D" w:rsidRPr="00736676" w:rsidTr="00ED7EC7">
        <w:trPr>
          <w:trHeight w:val="240"/>
        </w:trPr>
        <w:tc>
          <w:tcPr>
            <w:tcW w:w="2464" w:type="pct"/>
          </w:tcPr>
          <w:p w:rsidR="00831132" w:rsidRPr="00E93C8D" w:rsidRDefault="00E336F6" w:rsidP="005F1E15">
            <w:pPr>
              <w:pStyle w:val="23"/>
              <w:widowControl w:val="0"/>
              <w:spacing w:after="120"/>
              <w:jc w:val="both"/>
            </w:pPr>
            <w:r w:rsidRPr="00E93C8D">
              <w:rPr>
                <w:lang w:val="en-US"/>
              </w:rPr>
              <w:t>3</w:t>
            </w:r>
            <w:r w:rsidR="00831132" w:rsidRPr="00E93C8D">
              <w:rPr>
                <w:lang w:val="en-US"/>
              </w:rPr>
              <w:t>.2. The taxation of the cost of the Services (including VAT) is defined in the appended Standard Tax Terms.</w:t>
            </w:r>
          </w:p>
        </w:tc>
        <w:tc>
          <w:tcPr>
            <w:tcW w:w="2536" w:type="pct"/>
          </w:tcPr>
          <w:p w:rsidR="00831132" w:rsidRPr="00E93C8D" w:rsidRDefault="00E336F6" w:rsidP="005F1E15">
            <w:pPr>
              <w:widowControl w:val="0"/>
              <w:spacing w:after="120" w:line="240" w:lineRule="atLeast"/>
              <w:rPr>
                <w:sz w:val="20"/>
                <w:lang w:val="ru-RU"/>
              </w:rPr>
            </w:pPr>
            <w:r w:rsidRPr="00E93C8D">
              <w:rPr>
                <w:sz w:val="20"/>
                <w:lang w:val="ru-RU" w:eastAsia="ru-RU"/>
              </w:rPr>
              <w:t>3</w:t>
            </w:r>
            <w:r w:rsidR="00831132" w:rsidRPr="00E93C8D">
              <w:rPr>
                <w:sz w:val="20"/>
                <w:lang w:val="ru-RU" w:eastAsia="ru-RU"/>
              </w:rPr>
              <w:t xml:space="preserve">.2. Порядок налогообложения Услуг </w:t>
            </w:r>
            <w:r w:rsidR="00F21B22" w:rsidRPr="00E93C8D">
              <w:rPr>
                <w:sz w:val="20"/>
                <w:lang w:val="ru-RU" w:eastAsia="ru-RU"/>
              </w:rPr>
              <w:t>Делойт</w:t>
            </w:r>
            <w:r w:rsidR="00831132" w:rsidRPr="00E93C8D">
              <w:rPr>
                <w:sz w:val="20"/>
                <w:lang w:val="ru-RU" w:eastAsia="ru-RU"/>
              </w:rPr>
              <w:t xml:space="preserve"> (в т.ч. НДС) определяется в Общих условиях.</w:t>
            </w:r>
          </w:p>
        </w:tc>
      </w:tr>
      <w:tr w:rsidR="00E93C8D" w:rsidRPr="00736676" w:rsidTr="00ED7EC7">
        <w:trPr>
          <w:trHeight w:val="851"/>
        </w:trPr>
        <w:tc>
          <w:tcPr>
            <w:tcW w:w="2464" w:type="pct"/>
          </w:tcPr>
          <w:p w:rsidR="00FF7A8A" w:rsidRPr="00E93C8D" w:rsidRDefault="00E336F6" w:rsidP="00E336F6">
            <w:pPr>
              <w:widowControl w:val="0"/>
              <w:spacing w:after="120"/>
              <w:rPr>
                <w:sz w:val="20"/>
              </w:rPr>
            </w:pPr>
            <w:r w:rsidRPr="00E93C8D">
              <w:rPr>
                <w:sz w:val="20"/>
              </w:rPr>
              <w:t>3</w:t>
            </w:r>
            <w:r w:rsidR="00FF7A8A" w:rsidRPr="00E93C8D">
              <w:rPr>
                <w:sz w:val="20"/>
              </w:rPr>
              <w:t xml:space="preserve">.3. </w:t>
            </w:r>
            <w:r w:rsidR="00B772E3" w:rsidRPr="00E93C8D">
              <w:rPr>
                <w:sz w:val="20"/>
              </w:rPr>
              <w:t>Deloitte Professional Fee</w:t>
            </w:r>
            <w:r w:rsidR="00FF7A8A" w:rsidRPr="00E93C8D">
              <w:rPr>
                <w:sz w:val="20"/>
              </w:rPr>
              <w:t xml:space="preserve"> may be agreed upon by the Parties in fax messages, emails or by signing addendums hereto.</w:t>
            </w:r>
          </w:p>
        </w:tc>
        <w:tc>
          <w:tcPr>
            <w:tcW w:w="2536" w:type="pct"/>
          </w:tcPr>
          <w:p w:rsidR="00FF7A8A" w:rsidRPr="00E93C8D" w:rsidRDefault="00E336F6" w:rsidP="00B772E3">
            <w:pPr>
              <w:widowControl w:val="0"/>
              <w:spacing w:after="120"/>
              <w:rPr>
                <w:sz w:val="20"/>
                <w:lang w:val="ru-RU"/>
              </w:rPr>
            </w:pPr>
            <w:r w:rsidRPr="00E93C8D">
              <w:rPr>
                <w:sz w:val="20"/>
                <w:lang w:val="ru-RU"/>
              </w:rPr>
              <w:t>3</w:t>
            </w:r>
            <w:r w:rsidR="00FF7A8A" w:rsidRPr="00E93C8D">
              <w:rPr>
                <w:sz w:val="20"/>
                <w:lang w:val="ru-RU"/>
              </w:rPr>
              <w:t xml:space="preserve">.3. </w:t>
            </w:r>
            <w:r w:rsidR="00B772E3" w:rsidRPr="00E93C8D">
              <w:rPr>
                <w:sz w:val="20"/>
                <w:lang w:val="ru-RU"/>
              </w:rPr>
              <w:t>Сумма Вознаграждения</w:t>
            </w:r>
            <w:r w:rsidR="00FF7A8A" w:rsidRPr="00E93C8D">
              <w:rPr>
                <w:sz w:val="20"/>
                <w:lang w:val="ru-RU"/>
              </w:rPr>
              <w:t xml:space="preserve"> определяется Сторонами </w:t>
            </w:r>
            <w:r w:rsidR="00FF7A8A" w:rsidRPr="00E93C8D">
              <w:rPr>
                <w:noProof/>
                <w:sz w:val="20"/>
                <w:lang w:val="ru-RU"/>
              </w:rPr>
              <w:t>в сообщениях, отправляемых по факсу или электронной почте, или</w:t>
            </w:r>
            <w:r w:rsidR="00FF7A8A" w:rsidRPr="00E93C8D">
              <w:rPr>
                <w:sz w:val="20"/>
                <w:lang w:val="ru-RU"/>
              </w:rPr>
              <w:t xml:space="preserve"> посредством заключения </w:t>
            </w:r>
            <w:r w:rsidR="00FF7A8A" w:rsidRPr="00E93C8D">
              <w:rPr>
                <w:noProof/>
                <w:sz w:val="20"/>
                <w:lang w:val="ru-RU"/>
              </w:rPr>
              <w:t>дополнительных соглашений к настоящему Соглашению</w:t>
            </w:r>
            <w:r w:rsidR="00FF7A8A" w:rsidRPr="00E93C8D">
              <w:rPr>
                <w:sz w:val="20"/>
                <w:lang w:val="ru-RU"/>
              </w:rPr>
              <w:t>.</w:t>
            </w:r>
          </w:p>
        </w:tc>
      </w:tr>
      <w:tr w:rsidR="00E93C8D" w:rsidRPr="00E93C8D" w:rsidTr="00780B8F">
        <w:tc>
          <w:tcPr>
            <w:tcW w:w="2464" w:type="pct"/>
          </w:tcPr>
          <w:p w:rsidR="00FF7A8A" w:rsidRPr="00E93C8D" w:rsidRDefault="00112126" w:rsidP="005F1E15">
            <w:pPr>
              <w:pStyle w:val="1"/>
              <w:keepNext w:val="0"/>
              <w:widowControl w:val="0"/>
              <w:numPr>
                <w:ilvl w:val="0"/>
                <w:numId w:val="0"/>
              </w:numPr>
              <w:spacing w:after="120"/>
              <w:ind w:left="510" w:hanging="510"/>
              <w:rPr>
                <w:sz w:val="20"/>
              </w:rPr>
            </w:pPr>
            <w:r w:rsidRPr="00E93C8D">
              <w:rPr>
                <w:sz w:val="20"/>
                <w:lang w:val="ru-RU"/>
              </w:rPr>
              <w:t>4</w:t>
            </w:r>
            <w:r w:rsidR="00FF7A8A" w:rsidRPr="00E93C8D">
              <w:rPr>
                <w:sz w:val="20"/>
              </w:rPr>
              <w:t>. Miscellaneous</w:t>
            </w:r>
          </w:p>
        </w:tc>
        <w:tc>
          <w:tcPr>
            <w:tcW w:w="2536" w:type="pct"/>
          </w:tcPr>
          <w:p w:rsidR="00FF7A8A" w:rsidRPr="00E93C8D" w:rsidRDefault="00112126" w:rsidP="005F1E15">
            <w:pPr>
              <w:pStyle w:val="1"/>
              <w:keepNext w:val="0"/>
              <w:widowControl w:val="0"/>
              <w:numPr>
                <w:ilvl w:val="0"/>
                <w:numId w:val="0"/>
              </w:numPr>
              <w:spacing w:after="120"/>
              <w:ind w:left="510" w:hanging="510"/>
              <w:rPr>
                <w:sz w:val="20"/>
              </w:rPr>
            </w:pPr>
            <w:r w:rsidRPr="00E93C8D">
              <w:rPr>
                <w:sz w:val="20"/>
                <w:lang w:val="ru-RU"/>
              </w:rPr>
              <w:t>4</w:t>
            </w:r>
            <w:r w:rsidR="00FF7A8A" w:rsidRPr="00E93C8D">
              <w:rPr>
                <w:sz w:val="20"/>
              </w:rPr>
              <w:t xml:space="preserve">. </w:t>
            </w:r>
            <w:r w:rsidR="00FF7A8A" w:rsidRPr="00E93C8D">
              <w:rPr>
                <w:sz w:val="20"/>
                <w:lang w:val="ru-RU"/>
              </w:rPr>
              <w:t>Прочее</w:t>
            </w:r>
          </w:p>
        </w:tc>
      </w:tr>
      <w:tr w:rsidR="00E93C8D" w:rsidRPr="00736676" w:rsidTr="00780B8F">
        <w:tc>
          <w:tcPr>
            <w:tcW w:w="2464" w:type="pct"/>
          </w:tcPr>
          <w:p w:rsidR="00FF7A8A" w:rsidRPr="00E93C8D" w:rsidRDefault="00FF7A8A" w:rsidP="005F1E15">
            <w:pPr>
              <w:pStyle w:val="1"/>
              <w:keepNext w:val="0"/>
              <w:widowControl w:val="0"/>
              <w:numPr>
                <w:ilvl w:val="0"/>
                <w:numId w:val="0"/>
              </w:numPr>
              <w:spacing w:after="120"/>
              <w:rPr>
                <w:b w:val="0"/>
                <w:i w:val="0"/>
                <w:sz w:val="20"/>
              </w:rPr>
            </w:pPr>
            <w:r w:rsidRPr="00E93C8D">
              <w:rPr>
                <w:b w:val="0"/>
                <w:bCs/>
                <w:i w:val="0"/>
                <w:sz w:val="20"/>
              </w:rPr>
              <w:t>This Engagement letter is</w:t>
            </w:r>
            <w:r w:rsidRPr="00E93C8D">
              <w:rPr>
                <w:b w:val="0"/>
                <w:i w:val="0"/>
                <w:sz w:val="20"/>
              </w:rPr>
              <w:t xml:space="preserve"> executed in English and Russian. Should different interpretations arise from translation, the Russian version shall prevail.</w:t>
            </w:r>
          </w:p>
          <w:p w:rsidR="00FF7A8A" w:rsidRPr="00E93C8D" w:rsidRDefault="00FF7A8A" w:rsidP="005F1E15">
            <w:pPr>
              <w:pStyle w:val="a5"/>
              <w:widowControl w:val="0"/>
              <w:spacing w:after="120"/>
              <w:rPr>
                <w:sz w:val="20"/>
              </w:rPr>
            </w:pPr>
          </w:p>
        </w:tc>
        <w:tc>
          <w:tcPr>
            <w:tcW w:w="2536" w:type="pct"/>
          </w:tcPr>
          <w:p w:rsidR="00FF7A8A" w:rsidRPr="00E93C8D" w:rsidRDefault="00FF7A8A" w:rsidP="005F1E15">
            <w:pPr>
              <w:pStyle w:val="a8"/>
              <w:widowControl w:val="0"/>
              <w:ind w:left="0"/>
              <w:rPr>
                <w:noProof/>
                <w:sz w:val="20"/>
                <w:lang w:val="ru-RU"/>
              </w:rPr>
            </w:pPr>
            <w:r w:rsidRPr="00E93C8D">
              <w:rPr>
                <w:sz w:val="20"/>
                <w:lang w:val="ru-RU"/>
              </w:rPr>
              <w:t>Настоящее Соглашение составлено на русском и английском языках; в</w:t>
            </w:r>
            <w:r w:rsidRPr="00E93C8D">
              <w:rPr>
                <w:noProof/>
                <w:sz w:val="20"/>
                <w:lang w:val="ru-RU"/>
              </w:rPr>
              <w:t xml:space="preserve"> случае разногласий, возникающих из различного толкования положений на русском и английском языках, русский текст имеет приоритет.</w:t>
            </w:r>
          </w:p>
        </w:tc>
      </w:tr>
    </w:tbl>
    <w:p w:rsidR="00563614" w:rsidRPr="00E93C8D" w:rsidRDefault="00563614" w:rsidP="00667E19">
      <w:pPr>
        <w:widowControl w:val="0"/>
        <w:spacing w:before="120"/>
        <w:ind w:left="-426" w:right="-1322"/>
        <w:jc w:val="left"/>
        <w:rPr>
          <w:b/>
          <w:sz w:val="20"/>
        </w:rPr>
      </w:pPr>
      <w:r w:rsidRPr="00E93C8D">
        <w:rPr>
          <w:b/>
          <w:sz w:val="20"/>
        </w:rPr>
        <w:t>ADDRESSES AND BANK DETAILS</w:t>
      </w:r>
      <w:r w:rsidR="00F951A2" w:rsidRPr="00E93C8D">
        <w:rPr>
          <w:b/>
          <w:sz w:val="20"/>
        </w:rPr>
        <w:t xml:space="preserve"> OF THE PARTIES</w:t>
      </w:r>
      <w:r w:rsidRPr="00E93C8D">
        <w:rPr>
          <w:b/>
          <w:sz w:val="20"/>
        </w:rPr>
        <w:t>: / ЮРИДИЧЕСКИЕ АДРЕСА И РЕКВИЗИТЫ СТОРОН:</w:t>
      </w:r>
    </w:p>
    <w:p w:rsidR="00563614" w:rsidRPr="00E93C8D" w:rsidRDefault="00563614" w:rsidP="003E124E">
      <w:pPr>
        <w:widowControl w:val="0"/>
        <w:spacing w:before="120"/>
        <w:ind w:right="-1322"/>
        <w:jc w:val="center"/>
        <w:rPr>
          <w:b/>
          <w:sz w:val="20"/>
        </w:rPr>
      </w:pPr>
    </w:p>
    <w:tbl>
      <w:tblPr>
        <w:tblW w:w="9782" w:type="dxa"/>
        <w:tblInd w:w="-292" w:type="dxa"/>
        <w:tblLayout w:type="fixed"/>
        <w:tblLook w:val="0000" w:firstRow="0" w:lastRow="0" w:firstColumn="0" w:lastColumn="0" w:noHBand="0" w:noVBand="0"/>
      </w:tblPr>
      <w:tblGrid>
        <w:gridCol w:w="3519"/>
        <w:gridCol w:w="6263"/>
      </w:tblGrid>
      <w:tr w:rsidR="00E93C8D" w:rsidRPr="00E93C8D" w:rsidTr="008E31E8">
        <w:trPr>
          <w:cantSplit/>
        </w:trPr>
        <w:tc>
          <w:tcPr>
            <w:tcW w:w="9782" w:type="dxa"/>
            <w:gridSpan w:val="2"/>
            <w:tcBorders>
              <w:top w:val="single" w:sz="6" w:space="0" w:color="000000"/>
              <w:left w:val="single" w:sz="6" w:space="0" w:color="000000"/>
              <w:bottom w:val="single" w:sz="6" w:space="0" w:color="000000"/>
              <w:right w:val="single" w:sz="6" w:space="0" w:color="000000"/>
            </w:tcBorders>
          </w:tcPr>
          <w:p w:rsidR="00F05DE1" w:rsidRPr="00E93C8D" w:rsidRDefault="00F21B22" w:rsidP="003E124E">
            <w:pPr>
              <w:widowControl w:val="0"/>
              <w:ind w:right="1156"/>
              <w:rPr>
                <w:b/>
                <w:bCs/>
                <w:sz w:val="20"/>
              </w:rPr>
            </w:pPr>
            <w:r w:rsidRPr="00E93C8D">
              <w:rPr>
                <w:b/>
                <w:sz w:val="20"/>
              </w:rPr>
              <w:t>Deloitte</w:t>
            </w:r>
            <w:r w:rsidR="00F05DE1" w:rsidRPr="00E93C8D">
              <w:rPr>
                <w:b/>
                <w:sz w:val="20"/>
              </w:rPr>
              <w:t xml:space="preserve">/ </w:t>
            </w:r>
            <w:r w:rsidRPr="00E93C8D">
              <w:rPr>
                <w:b/>
                <w:sz w:val="20"/>
                <w:lang w:val="ru-RU"/>
              </w:rPr>
              <w:t>Делойт</w:t>
            </w:r>
            <w:r w:rsidR="00F05DE1" w:rsidRPr="00E93C8D">
              <w:rPr>
                <w:b/>
                <w:sz w:val="20"/>
              </w:rPr>
              <w:t xml:space="preserve">: </w:t>
            </w:r>
            <w:r w:rsidR="00F05DE1" w:rsidRPr="00E93C8D">
              <w:rPr>
                <w:sz w:val="20"/>
              </w:rPr>
              <w:t xml:space="preserve">Limited Liability Company “Deloitte Consulting” </w:t>
            </w:r>
            <w:r w:rsidR="00F05DE1" w:rsidRPr="00E93C8D">
              <w:rPr>
                <w:bCs/>
                <w:sz w:val="20"/>
              </w:rPr>
              <w:t xml:space="preserve">/ </w:t>
            </w:r>
            <w:r w:rsidR="00F05DE1" w:rsidRPr="00E93C8D">
              <w:rPr>
                <w:bCs/>
                <w:sz w:val="20"/>
                <w:lang w:val="ru-RU"/>
              </w:rPr>
              <w:t>Общество</w:t>
            </w:r>
            <w:r w:rsidR="00F05DE1" w:rsidRPr="00E93C8D">
              <w:rPr>
                <w:bCs/>
                <w:sz w:val="20"/>
              </w:rPr>
              <w:t xml:space="preserve"> </w:t>
            </w:r>
            <w:r w:rsidR="00F05DE1" w:rsidRPr="00E93C8D">
              <w:rPr>
                <w:bCs/>
                <w:sz w:val="20"/>
                <w:lang w:val="ru-RU"/>
              </w:rPr>
              <w:t>с</w:t>
            </w:r>
            <w:r w:rsidR="00F05DE1" w:rsidRPr="00E93C8D">
              <w:rPr>
                <w:bCs/>
                <w:sz w:val="20"/>
              </w:rPr>
              <w:t xml:space="preserve"> </w:t>
            </w:r>
            <w:r w:rsidR="00F05DE1" w:rsidRPr="00E93C8D">
              <w:rPr>
                <w:bCs/>
                <w:sz w:val="20"/>
                <w:lang w:val="ru-RU"/>
              </w:rPr>
              <w:t>ограниченной</w:t>
            </w:r>
            <w:r w:rsidR="00F05DE1" w:rsidRPr="00E93C8D">
              <w:rPr>
                <w:bCs/>
                <w:sz w:val="20"/>
              </w:rPr>
              <w:t xml:space="preserve"> </w:t>
            </w:r>
            <w:r w:rsidR="00F05DE1" w:rsidRPr="00E93C8D">
              <w:rPr>
                <w:bCs/>
                <w:sz w:val="20"/>
                <w:lang w:val="ru-RU"/>
              </w:rPr>
              <w:t>ответственностью</w:t>
            </w:r>
            <w:r w:rsidR="00F05DE1" w:rsidRPr="00E93C8D">
              <w:rPr>
                <w:bCs/>
                <w:sz w:val="20"/>
              </w:rPr>
              <w:t xml:space="preserve"> «</w:t>
            </w:r>
            <w:r w:rsidR="00F05DE1" w:rsidRPr="00E93C8D">
              <w:rPr>
                <w:bCs/>
                <w:sz w:val="20"/>
                <w:lang w:val="ru-RU"/>
              </w:rPr>
              <w:t>Делойт</w:t>
            </w:r>
            <w:r w:rsidR="00F05DE1" w:rsidRPr="00E93C8D">
              <w:rPr>
                <w:bCs/>
                <w:sz w:val="20"/>
              </w:rPr>
              <w:t xml:space="preserve"> </w:t>
            </w:r>
            <w:r w:rsidR="00F05DE1" w:rsidRPr="00E93C8D">
              <w:rPr>
                <w:bCs/>
                <w:sz w:val="20"/>
                <w:lang w:val="ru-RU"/>
              </w:rPr>
              <w:t>Консалтинг</w:t>
            </w:r>
            <w:r w:rsidR="00F05DE1" w:rsidRPr="00E93C8D">
              <w:rPr>
                <w:bCs/>
                <w:sz w:val="20"/>
              </w:rPr>
              <w:t>»</w:t>
            </w:r>
          </w:p>
          <w:p w:rsidR="00F05DE1" w:rsidRPr="00E93C8D" w:rsidRDefault="00F05DE1" w:rsidP="003E124E">
            <w:pPr>
              <w:widowControl w:val="0"/>
              <w:ind w:right="1156"/>
              <w:rPr>
                <w:sz w:val="20"/>
              </w:rPr>
            </w:pPr>
          </w:p>
        </w:tc>
      </w:tr>
      <w:tr w:rsidR="00E93C8D" w:rsidRPr="00E93C8D" w:rsidTr="008E31E8">
        <w:trPr>
          <w:cantSplit/>
          <w:trHeight w:val="893"/>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rPr>
                <w:sz w:val="20"/>
              </w:rPr>
            </w:pPr>
            <w:r w:rsidRPr="00E93C8D">
              <w:rPr>
                <w:sz w:val="20"/>
              </w:rPr>
              <w:t xml:space="preserve">Address of the </w:t>
            </w:r>
            <w:r w:rsidRPr="00E93C8D">
              <w:rPr>
                <w:bCs/>
                <w:sz w:val="20"/>
              </w:rPr>
              <w:t xml:space="preserve">Company/Адрес </w:t>
            </w:r>
            <w:r w:rsidRPr="00E93C8D">
              <w:rPr>
                <w:sz w:val="20"/>
              </w:rPr>
              <w:t>Компании</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pStyle w:val="Address"/>
              <w:widowControl w:val="0"/>
              <w:jc w:val="center"/>
              <w:rPr>
                <w:rFonts w:ascii="Times New Roman" w:hAnsi="Times New Roman" w:cs="Times New Roman"/>
                <w:color w:val="auto"/>
                <w:sz w:val="20"/>
                <w:szCs w:val="20"/>
                <w:lang w:val="en-US"/>
              </w:rPr>
            </w:pPr>
            <w:r w:rsidRPr="00E93C8D">
              <w:rPr>
                <w:rFonts w:ascii="Times New Roman" w:hAnsi="Times New Roman" w:cs="Times New Roman"/>
                <w:color w:val="auto"/>
                <w:sz w:val="20"/>
                <w:szCs w:val="20"/>
                <w:lang w:val="en-US"/>
              </w:rPr>
              <w:t>Lesnaya St., 5,  Moscow, 125047, Russia /</w:t>
            </w:r>
          </w:p>
          <w:p w:rsidR="00F05DE1" w:rsidRPr="00E93C8D" w:rsidRDefault="00F05DE1" w:rsidP="003E124E">
            <w:pPr>
              <w:pStyle w:val="Address"/>
              <w:widowControl w:val="0"/>
              <w:jc w:val="center"/>
              <w:rPr>
                <w:rFonts w:ascii="Times New Roman" w:hAnsi="Times New Roman" w:cs="Times New Roman"/>
                <w:color w:val="auto"/>
                <w:sz w:val="20"/>
                <w:szCs w:val="20"/>
                <w:lang w:val="en-US"/>
              </w:rPr>
            </w:pPr>
            <w:r w:rsidRPr="00E93C8D">
              <w:rPr>
                <w:rFonts w:ascii="Times New Roman" w:hAnsi="Times New Roman" w:cs="Times New Roman"/>
                <w:color w:val="auto"/>
                <w:sz w:val="20"/>
                <w:szCs w:val="20"/>
              </w:rPr>
              <w:t>Россия</w:t>
            </w:r>
            <w:r w:rsidRPr="00E93C8D">
              <w:rPr>
                <w:rFonts w:ascii="Times New Roman" w:hAnsi="Times New Roman" w:cs="Times New Roman"/>
                <w:color w:val="auto"/>
                <w:sz w:val="20"/>
                <w:szCs w:val="20"/>
                <w:lang w:val="en-US"/>
              </w:rPr>
              <w:t xml:space="preserve">, 125047, </w:t>
            </w:r>
            <w:r w:rsidRPr="00E93C8D">
              <w:rPr>
                <w:rFonts w:ascii="Times New Roman" w:hAnsi="Times New Roman" w:cs="Times New Roman"/>
                <w:color w:val="auto"/>
                <w:sz w:val="20"/>
                <w:szCs w:val="20"/>
              </w:rPr>
              <w:t>Москва</w:t>
            </w:r>
            <w:r w:rsidRPr="00E93C8D">
              <w:rPr>
                <w:rFonts w:ascii="Times New Roman" w:hAnsi="Times New Roman" w:cs="Times New Roman"/>
                <w:color w:val="auto"/>
                <w:sz w:val="20"/>
                <w:szCs w:val="20"/>
                <w:lang w:val="en-US"/>
              </w:rPr>
              <w:t>,</w:t>
            </w:r>
            <w:r w:rsidRPr="00E93C8D">
              <w:rPr>
                <w:rFonts w:ascii="Times New Roman" w:hAnsi="Times New Roman" w:cs="Times New Roman"/>
                <w:color w:val="auto"/>
                <w:sz w:val="20"/>
                <w:szCs w:val="20"/>
              </w:rPr>
              <w:t>ул</w:t>
            </w:r>
            <w:r w:rsidRPr="00E93C8D">
              <w:rPr>
                <w:rFonts w:ascii="Times New Roman" w:hAnsi="Times New Roman" w:cs="Times New Roman"/>
                <w:color w:val="auto"/>
                <w:sz w:val="20"/>
                <w:szCs w:val="20"/>
                <w:lang w:val="en-US"/>
              </w:rPr>
              <w:t xml:space="preserve">. </w:t>
            </w:r>
            <w:r w:rsidRPr="00E93C8D">
              <w:rPr>
                <w:rFonts w:ascii="Times New Roman" w:hAnsi="Times New Roman" w:cs="Times New Roman"/>
                <w:color w:val="auto"/>
                <w:sz w:val="20"/>
                <w:szCs w:val="20"/>
              </w:rPr>
              <w:t>Лесная</w:t>
            </w:r>
            <w:r w:rsidRPr="00E93C8D">
              <w:rPr>
                <w:rFonts w:ascii="Times New Roman" w:hAnsi="Times New Roman" w:cs="Times New Roman"/>
                <w:color w:val="auto"/>
                <w:sz w:val="20"/>
                <w:szCs w:val="20"/>
                <w:lang w:val="en-US"/>
              </w:rPr>
              <w:t xml:space="preserve">, </w:t>
            </w:r>
            <w:r w:rsidRPr="00E93C8D">
              <w:rPr>
                <w:rFonts w:ascii="Times New Roman" w:hAnsi="Times New Roman" w:cs="Times New Roman"/>
                <w:color w:val="auto"/>
                <w:sz w:val="20"/>
                <w:szCs w:val="20"/>
              </w:rPr>
              <w:t>д</w:t>
            </w:r>
            <w:r w:rsidRPr="00E93C8D">
              <w:rPr>
                <w:rFonts w:ascii="Times New Roman" w:hAnsi="Times New Roman" w:cs="Times New Roman"/>
                <w:color w:val="auto"/>
                <w:sz w:val="20"/>
                <w:szCs w:val="20"/>
                <w:lang w:val="en-US"/>
              </w:rPr>
              <w:t>. 5</w:t>
            </w:r>
          </w:p>
          <w:p w:rsidR="00F05DE1" w:rsidRPr="00E93C8D" w:rsidRDefault="00F05DE1" w:rsidP="003E124E">
            <w:pPr>
              <w:widowControl w:val="0"/>
              <w:jc w:val="center"/>
              <w:rPr>
                <w:sz w:val="20"/>
              </w:rPr>
            </w:pP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ind w:right="9"/>
              <w:rPr>
                <w:sz w:val="20"/>
              </w:rPr>
            </w:pPr>
            <w:r w:rsidRPr="00E93C8D">
              <w:rPr>
                <w:sz w:val="20"/>
              </w:rPr>
              <w:t>Телефон/ Phone</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pStyle w:val="11"/>
              <w:widowControl w:val="0"/>
              <w:spacing w:after="200"/>
              <w:jc w:val="center"/>
              <w:rPr>
                <w:lang w:val="ru-RU" w:eastAsia="ru-RU"/>
              </w:rPr>
            </w:pPr>
            <w:r w:rsidRPr="00E93C8D">
              <w:t xml:space="preserve">+007 (495) 787 06 00 </w:t>
            </w: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ind w:right="9"/>
              <w:rPr>
                <w:sz w:val="20"/>
              </w:rPr>
            </w:pPr>
            <w:r w:rsidRPr="00E93C8D">
              <w:rPr>
                <w:sz w:val="20"/>
              </w:rPr>
              <w:t>Факс/Fax</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pStyle w:val="11"/>
              <w:widowControl w:val="0"/>
              <w:spacing w:after="200"/>
              <w:jc w:val="center"/>
            </w:pPr>
            <w:r w:rsidRPr="00E93C8D">
              <w:t>+007 (495) 787 06 01</w:t>
            </w: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rPr>
                <w:sz w:val="20"/>
              </w:rPr>
            </w:pPr>
            <w:r w:rsidRPr="00E93C8D">
              <w:rPr>
                <w:sz w:val="20"/>
              </w:rPr>
              <w:t>ИНН / INN (TIN)</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jc w:val="center"/>
              <w:rPr>
                <w:sz w:val="20"/>
              </w:rPr>
            </w:pPr>
            <w:r w:rsidRPr="00E93C8D">
              <w:rPr>
                <w:sz w:val="20"/>
              </w:rPr>
              <w:t>7710976720</w:t>
            </w: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rPr>
                <w:sz w:val="20"/>
              </w:rPr>
            </w:pPr>
            <w:r w:rsidRPr="00E93C8D">
              <w:rPr>
                <w:sz w:val="20"/>
              </w:rPr>
              <w:t>КПП/ KPP</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jc w:val="center"/>
              <w:rPr>
                <w:sz w:val="20"/>
              </w:rPr>
            </w:pPr>
            <w:r w:rsidRPr="00E93C8D">
              <w:rPr>
                <w:sz w:val="20"/>
              </w:rPr>
              <w:t>771001001</w:t>
            </w: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rPr>
                <w:sz w:val="20"/>
                <w:lang w:val="ru-RU"/>
              </w:rPr>
            </w:pPr>
            <w:r w:rsidRPr="00E93C8D">
              <w:rPr>
                <w:sz w:val="20"/>
                <w:lang w:val="ru-RU"/>
              </w:rPr>
              <w:t xml:space="preserve">Код по ОКПО/ </w:t>
            </w:r>
            <w:r w:rsidRPr="00E93C8D">
              <w:rPr>
                <w:sz w:val="20"/>
              </w:rPr>
              <w:t>OKPO</w:t>
            </w:r>
            <w:r w:rsidRPr="00E93C8D">
              <w:rPr>
                <w:sz w:val="20"/>
                <w:lang w:val="ru-RU"/>
              </w:rPr>
              <w:t xml:space="preserve"> </w:t>
            </w:r>
            <w:r w:rsidRPr="00E93C8D">
              <w:rPr>
                <w:sz w:val="20"/>
              </w:rPr>
              <w:t>code</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jc w:val="center"/>
              <w:rPr>
                <w:sz w:val="20"/>
              </w:rPr>
            </w:pPr>
            <w:r w:rsidRPr="00E93C8D">
              <w:rPr>
                <w:sz w:val="20"/>
              </w:rPr>
              <w:t>94183202</w:t>
            </w:r>
          </w:p>
        </w:tc>
      </w:tr>
      <w:tr w:rsidR="00E93C8D" w:rsidRPr="00736676"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ind w:right="9"/>
              <w:rPr>
                <w:sz w:val="20"/>
              </w:rPr>
            </w:pPr>
            <w:r w:rsidRPr="00E93C8D">
              <w:rPr>
                <w:sz w:val="20"/>
              </w:rPr>
              <w:t>Расчетный счет (</w:t>
            </w:r>
            <w:r w:rsidRPr="00E93C8D">
              <w:rPr>
                <w:b/>
                <w:sz w:val="20"/>
              </w:rPr>
              <w:t>Рубли</w:t>
            </w:r>
            <w:r w:rsidRPr="00E93C8D">
              <w:rPr>
                <w:sz w:val="20"/>
              </w:rPr>
              <w:t xml:space="preserve">)/ </w:t>
            </w:r>
          </w:p>
          <w:p w:rsidR="00F05DE1" w:rsidRPr="00E93C8D" w:rsidRDefault="00F05DE1" w:rsidP="003E124E">
            <w:pPr>
              <w:widowControl w:val="0"/>
              <w:ind w:right="9"/>
              <w:rPr>
                <w:sz w:val="20"/>
              </w:rPr>
            </w:pPr>
            <w:r w:rsidRPr="00E93C8D">
              <w:rPr>
                <w:sz w:val="20"/>
              </w:rPr>
              <w:t>Current account (</w:t>
            </w:r>
            <w:r w:rsidRPr="00E93C8D">
              <w:rPr>
                <w:b/>
                <w:sz w:val="20"/>
              </w:rPr>
              <w:t>RUB</w:t>
            </w:r>
            <w:r w:rsidRPr="00E93C8D">
              <w:rPr>
                <w:sz w:val="20"/>
              </w:rPr>
              <w:t>)</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ind w:right="11"/>
              <w:jc w:val="center"/>
              <w:rPr>
                <w:b/>
                <w:sz w:val="20"/>
                <w:lang w:val="ru-RU"/>
              </w:rPr>
            </w:pPr>
            <w:r w:rsidRPr="00E93C8D">
              <w:rPr>
                <w:b/>
                <w:bCs/>
                <w:sz w:val="20"/>
                <w:lang w:val="ru-RU"/>
              </w:rPr>
              <w:t>Общество с ограниченной ответственностью «Делойт Консалтинг»</w:t>
            </w:r>
          </w:p>
          <w:p w:rsidR="00F05DE1" w:rsidRPr="00E93C8D" w:rsidRDefault="00F05DE1" w:rsidP="003E124E">
            <w:pPr>
              <w:widowControl w:val="0"/>
              <w:ind w:right="9"/>
              <w:jc w:val="center"/>
              <w:rPr>
                <w:sz w:val="20"/>
                <w:lang w:val="ru-RU"/>
              </w:rPr>
            </w:pPr>
            <w:r w:rsidRPr="00E93C8D">
              <w:rPr>
                <w:sz w:val="20"/>
                <w:lang w:val="ru-RU"/>
              </w:rPr>
              <w:t xml:space="preserve">№ 40702810000101102806 </w:t>
            </w:r>
          </w:p>
          <w:p w:rsidR="00F05DE1" w:rsidRPr="00E93C8D" w:rsidRDefault="00F05DE1" w:rsidP="003E124E">
            <w:pPr>
              <w:widowControl w:val="0"/>
              <w:ind w:right="11"/>
              <w:jc w:val="center"/>
              <w:rPr>
                <w:sz w:val="20"/>
                <w:lang w:val="ru-RU"/>
              </w:rPr>
            </w:pPr>
            <w:r w:rsidRPr="00E93C8D">
              <w:rPr>
                <w:sz w:val="20"/>
                <w:lang w:val="ru-RU"/>
              </w:rPr>
              <w:t xml:space="preserve">в ООО «Эйч-эс-би-си Банк (РР) г. Москва / </w:t>
            </w:r>
            <w:r w:rsidRPr="00E93C8D">
              <w:rPr>
                <w:sz w:val="20"/>
              </w:rPr>
              <w:t>in</w:t>
            </w:r>
            <w:r w:rsidRPr="00E93C8D">
              <w:rPr>
                <w:sz w:val="20"/>
                <w:lang w:val="ru-RU"/>
              </w:rPr>
              <w:t xml:space="preserve"> </w:t>
            </w:r>
            <w:r w:rsidRPr="00E93C8D">
              <w:rPr>
                <w:sz w:val="20"/>
              </w:rPr>
              <w:t>OOO</w:t>
            </w:r>
            <w:r w:rsidRPr="00E93C8D">
              <w:rPr>
                <w:sz w:val="20"/>
                <w:lang w:val="ru-RU"/>
              </w:rPr>
              <w:t xml:space="preserve"> </w:t>
            </w:r>
            <w:r w:rsidRPr="00E93C8D">
              <w:rPr>
                <w:sz w:val="20"/>
              </w:rPr>
              <w:t>HSBC</w:t>
            </w:r>
            <w:r w:rsidRPr="00E93C8D">
              <w:rPr>
                <w:sz w:val="20"/>
                <w:lang w:val="ru-RU"/>
              </w:rPr>
              <w:t xml:space="preserve"> </w:t>
            </w:r>
            <w:r w:rsidRPr="00E93C8D">
              <w:rPr>
                <w:sz w:val="20"/>
              </w:rPr>
              <w:t>Bank</w:t>
            </w:r>
            <w:r w:rsidRPr="00E93C8D">
              <w:rPr>
                <w:sz w:val="20"/>
                <w:lang w:val="ru-RU"/>
              </w:rPr>
              <w:t xml:space="preserve"> (</w:t>
            </w:r>
            <w:r w:rsidRPr="00E93C8D">
              <w:rPr>
                <w:sz w:val="20"/>
              </w:rPr>
              <w:t>RR</w:t>
            </w:r>
            <w:r w:rsidRPr="00E93C8D">
              <w:rPr>
                <w:sz w:val="20"/>
                <w:lang w:val="ru-RU"/>
              </w:rPr>
              <w:t xml:space="preserve">), </w:t>
            </w:r>
            <w:r w:rsidRPr="00E93C8D">
              <w:rPr>
                <w:sz w:val="20"/>
              </w:rPr>
              <w:t>Moscow</w:t>
            </w:r>
          </w:p>
          <w:p w:rsidR="00F05DE1" w:rsidRPr="00E93C8D" w:rsidRDefault="00F05DE1" w:rsidP="003E124E">
            <w:pPr>
              <w:widowControl w:val="0"/>
              <w:ind w:right="11"/>
              <w:jc w:val="center"/>
              <w:rPr>
                <w:sz w:val="20"/>
                <w:lang w:val="ru-RU"/>
              </w:rPr>
            </w:pPr>
            <w:r w:rsidRPr="00E93C8D">
              <w:rPr>
                <w:sz w:val="20"/>
                <w:lang w:val="ru-RU"/>
              </w:rPr>
              <w:t>БИК/</w:t>
            </w:r>
            <w:r w:rsidRPr="00E93C8D">
              <w:rPr>
                <w:sz w:val="20"/>
              </w:rPr>
              <w:t>BIC</w:t>
            </w:r>
            <w:r w:rsidRPr="00E93C8D">
              <w:rPr>
                <w:sz w:val="20"/>
                <w:lang w:val="ru-RU"/>
              </w:rPr>
              <w:t xml:space="preserve"> 044525351, кор.сч./</w:t>
            </w:r>
            <w:r w:rsidRPr="00E93C8D">
              <w:rPr>
                <w:sz w:val="20"/>
              </w:rPr>
              <w:t>corr</w:t>
            </w:r>
            <w:r w:rsidRPr="00E93C8D">
              <w:rPr>
                <w:sz w:val="20"/>
                <w:lang w:val="ru-RU"/>
              </w:rPr>
              <w:t>.</w:t>
            </w:r>
            <w:r w:rsidRPr="00E93C8D">
              <w:rPr>
                <w:sz w:val="20"/>
              </w:rPr>
              <w:t>acc</w:t>
            </w:r>
            <w:r w:rsidRPr="00E93C8D">
              <w:rPr>
                <w:sz w:val="20"/>
                <w:lang w:val="ru-RU"/>
              </w:rPr>
              <w:t>. № 30101810400000000351</w:t>
            </w:r>
          </w:p>
          <w:p w:rsidR="00F05DE1" w:rsidRPr="00E93C8D" w:rsidRDefault="00F05DE1" w:rsidP="003E124E">
            <w:pPr>
              <w:widowControl w:val="0"/>
              <w:ind w:right="11"/>
              <w:jc w:val="center"/>
              <w:rPr>
                <w:sz w:val="20"/>
                <w:lang w:val="ru-RU"/>
              </w:rPr>
            </w:pP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ind w:right="9"/>
              <w:rPr>
                <w:sz w:val="20"/>
                <w:lang w:val="ru-RU"/>
              </w:rPr>
            </w:pPr>
            <w:r w:rsidRPr="00E93C8D">
              <w:rPr>
                <w:sz w:val="20"/>
                <w:lang w:val="ru-RU"/>
              </w:rPr>
              <w:t>Валютный счет (</w:t>
            </w:r>
            <w:r w:rsidRPr="00E93C8D">
              <w:rPr>
                <w:b/>
                <w:sz w:val="20"/>
                <w:lang w:val="ru-RU"/>
              </w:rPr>
              <w:t>Доллары США</w:t>
            </w:r>
            <w:r w:rsidRPr="00E93C8D">
              <w:rPr>
                <w:sz w:val="20"/>
                <w:lang w:val="ru-RU"/>
              </w:rPr>
              <w:t xml:space="preserve">)/ </w:t>
            </w:r>
          </w:p>
          <w:p w:rsidR="00F05DE1" w:rsidRPr="00E93C8D" w:rsidRDefault="00F05DE1" w:rsidP="003E124E">
            <w:pPr>
              <w:widowControl w:val="0"/>
              <w:ind w:right="9"/>
              <w:rPr>
                <w:sz w:val="20"/>
                <w:lang w:val="ru-RU"/>
              </w:rPr>
            </w:pPr>
            <w:r w:rsidRPr="00E93C8D">
              <w:rPr>
                <w:sz w:val="20"/>
              </w:rPr>
              <w:t>Current</w:t>
            </w:r>
            <w:r w:rsidRPr="00E93C8D">
              <w:rPr>
                <w:sz w:val="20"/>
                <w:lang w:val="ru-RU"/>
              </w:rPr>
              <w:t xml:space="preserve"> </w:t>
            </w:r>
            <w:r w:rsidRPr="00E93C8D">
              <w:rPr>
                <w:sz w:val="20"/>
              </w:rPr>
              <w:t>account</w:t>
            </w:r>
            <w:r w:rsidRPr="00E93C8D">
              <w:rPr>
                <w:sz w:val="20"/>
                <w:lang w:val="ru-RU"/>
              </w:rPr>
              <w:t xml:space="preserve"> (</w:t>
            </w:r>
            <w:r w:rsidRPr="00E93C8D">
              <w:rPr>
                <w:b/>
                <w:sz w:val="20"/>
              </w:rPr>
              <w:t>USD</w:t>
            </w:r>
            <w:r w:rsidRPr="00E93C8D">
              <w:rPr>
                <w:sz w:val="20"/>
                <w:lang w:val="ru-RU"/>
              </w:rPr>
              <w:t>)</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ind w:right="9"/>
              <w:jc w:val="center"/>
              <w:rPr>
                <w:sz w:val="20"/>
              </w:rPr>
            </w:pPr>
            <w:r w:rsidRPr="00E93C8D">
              <w:rPr>
                <w:b/>
                <w:bCs/>
                <w:sz w:val="20"/>
              </w:rPr>
              <w:t>Limited Liability Company “Deloitte Consulting”</w:t>
            </w:r>
          </w:p>
          <w:p w:rsidR="00F05DE1" w:rsidRPr="00E93C8D" w:rsidRDefault="00F05DE1" w:rsidP="003E124E">
            <w:pPr>
              <w:widowControl w:val="0"/>
              <w:ind w:right="9"/>
              <w:jc w:val="center"/>
              <w:rPr>
                <w:sz w:val="20"/>
              </w:rPr>
            </w:pPr>
            <w:r w:rsidRPr="00E93C8D">
              <w:rPr>
                <w:sz w:val="20"/>
              </w:rPr>
              <w:t xml:space="preserve">№ 40702840600102102806 </w:t>
            </w:r>
            <w:r w:rsidRPr="00E93C8D">
              <w:rPr>
                <w:sz w:val="20"/>
                <w:lang w:val="ru-RU"/>
              </w:rPr>
              <w:t>в</w:t>
            </w:r>
            <w:r w:rsidRPr="00E93C8D">
              <w:rPr>
                <w:sz w:val="20"/>
              </w:rPr>
              <w:t xml:space="preserve"> </w:t>
            </w:r>
            <w:r w:rsidRPr="00E93C8D">
              <w:rPr>
                <w:sz w:val="20"/>
                <w:lang w:val="ru-RU"/>
              </w:rPr>
              <w:t>ООО</w:t>
            </w:r>
            <w:r w:rsidRPr="00E93C8D">
              <w:rPr>
                <w:sz w:val="20"/>
              </w:rPr>
              <w:t xml:space="preserve"> «</w:t>
            </w:r>
            <w:r w:rsidRPr="00E93C8D">
              <w:rPr>
                <w:sz w:val="20"/>
                <w:lang w:val="ru-RU"/>
              </w:rPr>
              <w:t>Эйч</w:t>
            </w:r>
            <w:r w:rsidRPr="00E93C8D">
              <w:rPr>
                <w:sz w:val="20"/>
              </w:rPr>
              <w:t>-</w:t>
            </w:r>
            <w:r w:rsidRPr="00E93C8D">
              <w:rPr>
                <w:sz w:val="20"/>
                <w:lang w:val="ru-RU"/>
              </w:rPr>
              <w:t>эс</w:t>
            </w:r>
            <w:r w:rsidRPr="00E93C8D">
              <w:rPr>
                <w:sz w:val="20"/>
              </w:rPr>
              <w:t>-</w:t>
            </w:r>
            <w:r w:rsidRPr="00E93C8D">
              <w:rPr>
                <w:sz w:val="20"/>
                <w:lang w:val="ru-RU"/>
              </w:rPr>
              <w:t>би</w:t>
            </w:r>
            <w:r w:rsidRPr="00E93C8D">
              <w:rPr>
                <w:sz w:val="20"/>
              </w:rPr>
              <w:t>-</w:t>
            </w:r>
            <w:r w:rsidRPr="00E93C8D">
              <w:rPr>
                <w:sz w:val="20"/>
                <w:lang w:val="ru-RU"/>
              </w:rPr>
              <w:t>си</w:t>
            </w:r>
            <w:r w:rsidRPr="00E93C8D">
              <w:rPr>
                <w:sz w:val="20"/>
              </w:rPr>
              <w:t xml:space="preserve"> </w:t>
            </w:r>
            <w:r w:rsidRPr="00E93C8D">
              <w:rPr>
                <w:sz w:val="20"/>
                <w:lang w:val="ru-RU"/>
              </w:rPr>
              <w:t>Банк</w:t>
            </w:r>
            <w:r w:rsidRPr="00E93C8D">
              <w:rPr>
                <w:sz w:val="20"/>
              </w:rPr>
              <w:t xml:space="preserve"> (</w:t>
            </w:r>
            <w:r w:rsidRPr="00E93C8D">
              <w:rPr>
                <w:sz w:val="20"/>
                <w:lang w:val="ru-RU"/>
              </w:rPr>
              <w:t>РР</w:t>
            </w:r>
            <w:r w:rsidRPr="00E93C8D">
              <w:rPr>
                <w:sz w:val="20"/>
              </w:rPr>
              <w:t>)»/in OOO HSBC Bank (RR), SWIFT code: BLICRUMM</w:t>
            </w:r>
          </w:p>
          <w:p w:rsidR="00F05DE1" w:rsidRPr="00E93C8D" w:rsidRDefault="00F05DE1" w:rsidP="003E124E">
            <w:pPr>
              <w:widowControl w:val="0"/>
              <w:ind w:right="9"/>
              <w:jc w:val="center"/>
              <w:rPr>
                <w:sz w:val="20"/>
              </w:rPr>
            </w:pPr>
            <w:r w:rsidRPr="00E93C8D">
              <w:rPr>
                <w:sz w:val="20"/>
                <w:lang w:val="ru-RU"/>
              </w:rPr>
              <w:t>Кор</w:t>
            </w:r>
            <w:r w:rsidRPr="00E93C8D">
              <w:rPr>
                <w:sz w:val="20"/>
              </w:rPr>
              <w:t>.</w:t>
            </w:r>
            <w:r w:rsidRPr="00E93C8D">
              <w:rPr>
                <w:sz w:val="20"/>
                <w:lang w:val="ru-RU"/>
              </w:rPr>
              <w:t>сч</w:t>
            </w:r>
            <w:r w:rsidRPr="00E93C8D">
              <w:rPr>
                <w:sz w:val="20"/>
              </w:rPr>
              <w:t>. (</w:t>
            </w:r>
            <w:r w:rsidRPr="00E93C8D">
              <w:rPr>
                <w:sz w:val="20"/>
                <w:lang w:val="ru-RU"/>
              </w:rPr>
              <w:t>доллары</w:t>
            </w:r>
            <w:r w:rsidRPr="00E93C8D">
              <w:rPr>
                <w:sz w:val="20"/>
              </w:rPr>
              <w:t xml:space="preserve"> </w:t>
            </w:r>
            <w:r w:rsidRPr="00E93C8D">
              <w:rPr>
                <w:sz w:val="20"/>
                <w:lang w:val="ru-RU"/>
              </w:rPr>
              <w:t>США</w:t>
            </w:r>
            <w:r w:rsidRPr="00E93C8D">
              <w:rPr>
                <w:sz w:val="20"/>
              </w:rPr>
              <w:t>)/Corr.acc. (USD) № 000-056-405, в/in HSBC Bank USA, New York, USA SWIFT code:  MRMDUS33</w:t>
            </w:r>
          </w:p>
          <w:p w:rsidR="00F05DE1" w:rsidRPr="00E93C8D" w:rsidRDefault="00F05DE1" w:rsidP="003E124E">
            <w:pPr>
              <w:widowControl w:val="0"/>
              <w:ind w:right="9"/>
              <w:jc w:val="center"/>
              <w:rPr>
                <w:sz w:val="20"/>
              </w:rPr>
            </w:pP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ind w:right="9"/>
              <w:rPr>
                <w:sz w:val="20"/>
              </w:rPr>
            </w:pPr>
            <w:r w:rsidRPr="00E93C8D">
              <w:rPr>
                <w:sz w:val="20"/>
              </w:rPr>
              <w:t>Валютный счет (</w:t>
            </w:r>
            <w:r w:rsidRPr="00E93C8D">
              <w:rPr>
                <w:b/>
                <w:sz w:val="20"/>
              </w:rPr>
              <w:t>ЕВРО</w:t>
            </w:r>
            <w:r w:rsidRPr="00E93C8D">
              <w:rPr>
                <w:sz w:val="20"/>
              </w:rPr>
              <w:t xml:space="preserve">)/ </w:t>
            </w:r>
          </w:p>
          <w:p w:rsidR="00F05DE1" w:rsidRPr="00E93C8D" w:rsidRDefault="00F05DE1" w:rsidP="003E124E">
            <w:pPr>
              <w:widowControl w:val="0"/>
              <w:ind w:right="9"/>
              <w:rPr>
                <w:sz w:val="20"/>
              </w:rPr>
            </w:pPr>
            <w:r w:rsidRPr="00E93C8D">
              <w:rPr>
                <w:sz w:val="20"/>
              </w:rPr>
              <w:t>Current account (</w:t>
            </w:r>
            <w:r w:rsidRPr="00E93C8D">
              <w:rPr>
                <w:b/>
                <w:sz w:val="20"/>
              </w:rPr>
              <w:t>EURO</w:t>
            </w:r>
            <w:r w:rsidRPr="00E93C8D">
              <w:rPr>
                <w:sz w:val="20"/>
              </w:rPr>
              <w:t>)</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ind w:right="9"/>
              <w:jc w:val="center"/>
              <w:rPr>
                <w:sz w:val="20"/>
              </w:rPr>
            </w:pPr>
            <w:r w:rsidRPr="00E93C8D">
              <w:rPr>
                <w:b/>
                <w:bCs/>
                <w:sz w:val="20"/>
              </w:rPr>
              <w:t>Limited Liability Company “Deloitte Consulting”</w:t>
            </w:r>
          </w:p>
          <w:p w:rsidR="00F05DE1" w:rsidRPr="00E93C8D" w:rsidRDefault="00F05DE1" w:rsidP="003E124E">
            <w:pPr>
              <w:widowControl w:val="0"/>
              <w:ind w:right="9"/>
              <w:jc w:val="center"/>
              <w:rPr>
                <w:sz w:val="20"/>
              </w:rPr>
            </w:pPr>
            <w:r w:rsidRPr="00E93C8D">
              <w:rPr>
                <w:sz w:val="20"/>
              </w:rPr>
              <w:t xml:space="preserve">№ 40702978800104102806 </w:t>
            </w:r>
            <w:r w:rsidRPr="00E93C8D">
              <w:rPr>
                <w:sz w:val="20"/>
                <w:lang w:val="ru-RU"/>
              </w:rPr>
              <w:t>в</w:t>
            </w:r>
            <w:r w:rsidRPr="00E93C8D">
              <w:rPr>
                <w:sz w:val="20"/>
              </w:rPr>
              <w:t xml:space="preserve"> </w:t>
            </w:r>
            <w:r w:rsidRPr="00E93C8D">
              <w:rPr>
                <w:sz w:val="20"/>
                <w:lang w:val="ru-RU"/>
              </w:rPr>
              <w:t>ООО</w:t>
            </w:r>
            <w:r w:rsidRPr="00E93C8D">
              <w:rPr>
                <w:sz w:val="20"/>
              </w:rPr>
              <w:t xml:space="preserve"> «</w:t>
            </w:r>
            <w:r w:rsidRPr="00E93C8D">
              <w:rPr>
                <w:sz w:val="20"/>
                <w:lang w:val="ru-RU"/>
              </w:rPr>
              <w:t>Эйч</w:t>
            </w:r>
            <w:r w:rsidRPr="00E93C8D">
              <w:rPr>
                <w:sz w:val="20"/>
              </w:rPr>
              <w:t>-</w:t>
            </w:r>
            <w:r w:rsidRPr="00E93C8D">
              <w:rPr>
                <w:sz w:val="20"/>
                <w:lang w:val="ru-RU"/>
              </w:rPr>
              <w:t>эс</w:t>
            </w:r>
            <w:r w:rsidRPr="00E93C8D">
              <w:rPr>
                <w:sz w:val="20"/>
              </w:rPr>
              <w:t>-</w:t>
            </w:r>
            <w:r w:rsidRPr="00E93C8D">
              <w:rPr>
                <w:sz w:val="20"/>
                <w:lang w:val="ru-RU"/>
              </w:rPr>
              <w:t>би</w:t>
            </w:r>
            <w:r w:rsidRPr="00E93C8D">
              <w:rPr>
                <w:sz w:val="20"/>
              </w:rPr>
              <w:t>-</w:t>
            </w:r>
            <w:r w:rsidRPr="00E93C8D">
              <w:rPr>
                <w:sz w:val="20"/>
                <w:lang w:val="ru-RU"/>
              </w:rPr>
              <w:t>си</w:t>
            </w:r>
            <w:r w:rsidRPr="00E93C8D">
              <w:rPr>
                <w:sz w:val="20"/>
              </w:rPr>
              <w:t xml:space="preserve"> </w:t>
            </w:r>
            <w:r w:rsidRPr="00E93C8D">
              <w:rPr>
                <w:sz w:val="20"/>
                <w:lang w:val="ru-RU"/>
              </w:rPr>
              <w:t>Банк</w:t>
            </w:r>
            <w:r w:rsidRPr="00E93C8D">
              <w:rPr>
                <w:sz w:val="20"/>
              </w:rPr>
              <w:t xml:space="preserve"> (</w:t>
            </w:r>
            <w:r w:rsidRPr="00E93C8D">
              <w:rPr>
                <w:sz w:val="20"/>
                <w:lang w:val="ru-RU"/>
              </w:rPr>
              <w:t>РР</w:t>
            </w:r>
            <w:r w:rsidRPr="00E93C8D">
              <w:rPr>
                <w:sz w:val="20"/>
              </w:rPr>
              <w:t>)»/in OOO HSBC Bank (RR), SWIFT code: BLICRUMM</w:t>
            </w:r>
          </w:p>
          <w:p w:rsidR="00F05DE1" w:rsidRPr="00E93C8D" w:rsidRDefault="00F05DE1" w:rsidP="003E124E">
            <w:pPr>
              <w:widowControl w:val="0"/>
              <w:ind w:right="9"/>
              <w:jc w:val="center"/>
              <w:rPr>
                <w:sz w:val="20"/>
              </w:rPr>
            </w:pPr>
            <w:r w:rsidRPr="00E93C8D">
              <w:rPr>
                <w:sz w:val="20"/>
                <w:lang w:val="ru-RU"/>
              </w:rPr>
              <w:t>Кор</w:t>
            </w:r>
            <w:r w:rsidRPr="00E93C8D">
              <w:rPr>
                <w:sz w:val="20"/>
              </w:rPr>
              <w:t>.</w:t>
            </w:r>
            <w:r w:rsidRPr="00E93C8D">
              <w:rPr>
                <w:sz w:val="20"/>
                <w:lang w:val="ru-RU"/>
              </w:rPr>
              <w:t>сч</w:t>
            </w:r>
            <w:r w:rsidRPr="00E93C8D">
              <w:rPr>
                <w:sz w:val="20"/>
              </w:rPr>
              <w:t>. (</w:t>
            </w:r>
            <w:r w:rsidRPr="00E93C8D">
              <w:rPr>
                <w:sz w:val="20"/>
                <w:lang w:val="ru-RU"/>
              </w:rPr>
              <w:t>ЕВРО</w:t>
            </w:r>
            <w:r w:rsidRPr="00E93C8D">
              <w:rPr>
                <w:sz w:val="20"/>
              </w:rPr>
              <w:t xml:space="preserve">)/Corr.acc. (EURO) IBAN: GB36MIDL40051559200762 </w:t>
            </w:r>
            <w:r w:rsidRPr="00E93C8D">
              <w:rPr>
                <w:sz w:val="20"/>
                <w:lang w:val="ru-RU"/>
              </w:rPr>
              <w:t>в</w:t>
            </w:r>
            <w:r w:rsidRPr="00E93C8D">
              <w:rPr>
                <w:sz w:val="20"/>
              </w:rPr>
              <w:t>/in HSBC Bank plc, London, UK, SWIFT code:  MIDLGB22</w:t>
            </w:r>
          </w:p>
          <w:p w:rsidR="00F05DE1" w:rsidRPr="00E93C8D" w:rsidRDefault="00F05DE1" w:rsidP="003E124E">
            <w:pPr>
              <w:widowControl w:val="0"/>
              <w:ind w:right="9"/>
              <w:jc w:val="center"/>
              <w:rPr>
                <w:sz w:val="20"/>
              </w:rPr>
            </w:pPr>
          </w:p>
        </w:tc>
      </w:tr>
      <w:tr w:rsidR="00E93C8D" w:rsidRPr="00736676"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rPr>
                <w:sz w:val="20"/>
                <w:lang w:val="ru-RU"/>
              </w:rPr>
            </w:pPr>
            <w:r w:rsidRPr="00E93C8D">
              <w:rPr>
                <w:sz w:val="20"/>
                <w:lang w:val="ru-RU"/>
              </w:rPr>
              <w:t xml:space="preserve">Местонахождение учреждения банка/ </w:t>
            </w:r>
            <w:r w:rsidRPr="00E93C8D">
              <w:rPr>
                <w:sz w:val="20"/>
              </w:rPr>
              <w:t>Bank</w:t>
            </w:r>
            <w:r w:rsidRPr="00E93C8D">
              <w:rPr>
                <w:sz w:val="20"/>
                <w:lang w:val="ru-RU"/>
              </w:rPr>
              <w:t xml:space="preserve"> </w:t>
            </w:r>
            <w:r w:rsidRPr="00E93C8D">
              <w:rPr>
                <w:sz w:val="20"/>
              </w:rPr>
              <w:t>Address</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jc w:val="center"/>
              <w:rPr>
                <w:sz w:val="20"/>
                <w:lang w:val="ru-RU"/>
              </w:rPr>
            </w:pPr>
            <w:r w:rsidRPr="00E93C8D">
              <w:rPr>
                <w:sz w:val="20"/>
                <w:lang w:val="ru-RU"/>
              </w:rPr>
              <w:t xml:space="preserve">115054, Москва, Павелецкая пл., д. 2 стр. 2, 18 этаж/18 </w:t>
            </w:r>
            <w:r w:rsidRPr="00E93C8D">
              <w:rPr>
                <w:sz w:val="20"/>
              </w:rPr>
              <w:t>floor</w:t>
            </w:r>
            <w:r w:rsidRPr="00E93C8D">
              <w:rPr>
                <w:sz w:val="20"/>
                <w:lang w:val="ru-RU"/>
              </w:rPr>
              <w:t xml:space="preserve">, 2 </w:t>
            </w:r>
            <w:r w:rsidRPr="00E93C8D">
              <w:rPr>
                <w:sz w:val="20"/>
              </w:rPr>
              <w:t>Paveletskaya</w:t>
            </w:r>
            <w:r w:rsidRPr="00E93C8D">
              <w:rPr>
                <w:sz w:val="20"/>
                <w:lang w:val="ru-RU"/>
              </w:rPr>
              <w:t xml:space="preserve"> </w:t>
            </w:r>
            <w:r w:rsidRPr="00E93C8D">
              <w:rPr>
                <w:sz w:val="20"/>
              </w:rPr>
              <w:t>sq</w:t>
            </w:r>
            <w:r w:rsidRPr="00E93C8D">
              <w:rPr>
                <w:sz w:val="20"/>
                <w:lang w:val="ru-RU"/>
              </w:rPr>
              <w:t xml:space="preserve">., </w:t>
            </w:r>
            <w:r w:rsidRPr="00E93C8D">
              <w:rPr>
                <w:sz w:val="20"/>
              </w:rPr>
              <w:t>block</w:t>
            </w:r>
            <w:r w:rsidRPr="00E93C8D">
              <w:rPr>
                <w:sz w:val="20"/>
                <w:lang w:val="ru-RU"/>
              </w:rPr>
              <w:t xml:space="preserve"> 2, </w:t>
            </w:r>
            <w:r w:rsidRPr="00E93C8D">
              <w:rPr>
                <w:sz w:val="20"/>
              </w:rPr>
              <w:t>Moscow</w:t>
            </w:r>
            <w:r w:rsidRPr="00E93C8D">
              <w:rPr>
                <w:sz w:val="20"/>
                <w:lang w:val="ru-RU"/>
              </w:rPr>
              <w:t>, 115054</w:t>
            </w: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rPr>
                <w:sz w:val="20"/>
                <w:lang w:val="ru-RU"/>
              </w:rPr>
            </w:pPr>
            <w:r w:rsidRPr="00E93C8D">
              <w:rPr>
                <w:sz w:val="20"/>
                <w:lang w:val="ru-RU"/>
              </w:rPr>
              <w:t xml:space="preserve">Код по ОКВЭД / </w:t>
            </w:r>
            <w:r w:rsidRPr="00E93C8D">
              <w:rPr>
                <w:sz w:val="20"/>
              </w:rPr>
              <w:t>OKVED</w:t>
            </w:r>
            <w:r w:rsidRPr="00E93C8D">
              <w:rPr>
                <w:sz w:val="20"/>
                <w:lang w:val="ru-RU"/>
              </w:rPr>
              <w:t xml:space="preserve"> </w:t>
            </w:r>
            <w:r w:rsidRPr="00E93C8D">
              <w:rPr>
                <w:sz w:val="20"/>
              </w:rPr>
              <w:t>code</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jc w:val="center"/>
              <w:rPr>
                <w:sz w:val="20"/>
              </w:rPr>
            </w:pPr>
            <w:r w:rsidRPr="00E93C8D">
              <w:rPr>
                <w:sz w:val="20"/>
              </w:rPr>
              <w:t>74.14</w:t>
            </w: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rPr>
                <w:sz w:val="20"/>
                <w:lang w:val="ru-RU"/>
              </w:rPr>
            </w:pPr>
            <w:r w:rsidRPr="00E93C8D">
              <w:rPr>
                <w:sz w:val="20"/>
                <w:lang w:val="ru-RU"/>
              </w:rPr>
              <w:t xml:space="preserve">Код по ОКОГУ/ </w:t>
            </w:r>
            <w:r w:rsidRPr="00E93C8D">
              <w:rPr>
                <w:sz w:val="20"/>
              </w:rPr>
              <w:t>OKOGU</w:t>
            </w:r>
            <w:r w:rsidRPr="00E93C8D">
              <w:rPr>
                <w:sz w:val="20"/>
                <w:lang w:val="ru-RU"/>
              </w:rPr>
              <w:t xml:space="preserve"> </w:t>
            </w:r>
            <w:r w:rsidRPr="00E93C8D">
              <w:rPr>
                <w:sz w:val="20"/>
              </w:rPr>
              <w:t>code</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jc w:val="center"/>
              <w:rPr>
                <w:sz w:val="20"/>
              </w:rPr>
            </w:pPr>
            <w:r w:rsidRPr="00E93C8D">
              <w:rPr>
                <w:sz w:val="20"/>
              </w:rPr>
              <w:t>4210011</w:t>
            </w: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rPr>
                <w:sz w:val="20"/>
                <w:lang w:val="ru-RU"/>
              </w:rPr>
            </w:pPr>
            <w:r w:rsidRPr="00E93C8D">
              <w:rPr>
                <w:sz w:val="20"/>
                <w:lang w:val="ru-RU"/>
              </w:rPr>
              <w:t xml:space="preserve">Код по ОКАТО/ </w:t>
            </w:r>
            <w:r w:rsidRPr="00E93C8D">
              <w:rPr>
                <w:sz w:val="20"/>
              </w:rPr>
              <w:t>OKATO</w:t>
            </w:r>
            <w:r w:rsidRPr="00E93C8D">
              <w:rPr>
                <w:sz w:val="20"/>
                <w:lang w:val="ru-RU"/>
              </w:rPr>
              <w:t xml:space="preserve"> </w:t>
            </w:r>
            <w:r w:rsidRPr="00E93C8D">
              <w:rPr>
                <w:sz w:val="20"/>
              </w:rPr>
              <w:t>code</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jc w:val="center"/>
              <w:rPr>
                <w:sz w:val="20"/>
              </w:rPr>
            </w:pPr>
            <w:r w:rsidRPr="00E93C8D">
              <w:rPr>
                <w:sz w:val="20"/>
              </w:rPr>
              <w:t>45286585000</w:t>
            </w: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rPr>
                <w:sz w:val="20"/>
                <w:lang w:val="ru-RU"/>
              </w:rPr>
            </w:pPr>
            <w:r w:rsidRPr="00E93C8D">
              <w:rPr>
                <w:sz w:val="20"/>
                <w:lang w:val="ru-RU"/>
              </w:rPr>
              <w:t xml:space="preserve">Код по ОКФС/ </w:t>
            </w:r>
            <w:r w:rsidRPr="00E93C8D">
              <w:rPr>
                <w:sz w:val="20"/>
              </w:rPr>
              <w:t>OKFS</w:t>
            </w:r>
            <w:r w:rsidRPr="00E93C8D">
              <w:rPr>
                <w:sz w:val="20"/>
                <w:lang w:val="ru-RU"/>
              </w:rPr>
              <w:t xml:space="preserve"> </w:t>
            </w:r>
            <w:r w:rsidRPr="00E93C8D">
              <w:rPr>
                <w:sz w:val="20"/>
              </w:rPr>
              <w:t>code</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jc w:val="center"/>
              <w:rPr>
                <w:sz w:val="20"/>
              </w:rPr>
            </w:pPr>
            <w:r w:rsidRPr="00E93C8D">
              <w:rPr>
                <w:sz w:val="20"/>
              </w:rPr>
              <w:t>23</w:t>
            </w:r>
          </w:p>
        </w:tc>
      </w:tr>
      <w:tr w:rsidR="00E93C8D" w:rsidRPr="00E93C8D" w:rsidTr="008E31E8">
        <w:trPr>
          <w:cantSplit/>
        </w:trPr>
        <w:tc>
          <w:tcPr>
            <w:tcW w:w="3519"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rPr>
                <w:sz w:val="20"/>
                <w:lang w:val="ru-RU"/>
              </w:rPr>
            </w:pPr>
            <w:r w:rsidRPr="00E93C8D">
              <w:rPr>
                <w:sz w:val="20"/>
                <w:lang w:val="ru-RU"/>
              </w:rPr>
              <w:t xml:space="preserve">Код по ОКОПФ/ </w:t>
            </w:r>
            <w:r w:rsidRPr="00E93C8D">
              <w:rPr>
                <w:sz w:val="20"/>
              </w:rPr>
              <w:t>OKOPF</w:t>
            </w:r>
            <w:r w:rsidRPr="00E93C8D">
              <w:rPr>
                <w:sz w:val="20"/>
                <w:lang w:val="ru-RU"/>
              </w:rPr>
              <w:t xml:space="preserve"> </w:t>
            </w:r>
            <w:r w:rsidRPr="00E93C8D">
              <w:rPr>
                <w:sz w:val="20"/>
              </w:rPr>
              <w:t>code</w:t>
            </w:r>
          </w:p>
        </w:tc>
        <w:tc>
          <w:tcPr>
            <w:tcW w:w="6263" w:type="dxa"/>
            <w:tcBorders>
              <w:top w:val="single" w:sz="6" w:space="0" w:color="000000"/>
              <w:left w:val="single" w:sz="6" w:space="0" w:color="000000"/>
              <w:bottom w:val="single" w:sz="6" w:space="0" w:color="000000"/>
              <w:right w:val="single" w:sz="6" w:space="0" w:color="000000"/>
            </w:tcBorders>
          </w:tcPr>
          <w:p w:rsidR="00F05DE1" w:rsidRPr="00E93C8D" w:rsidRDefault="00F05DE1" w:rsidP="003E124E">
            <w:pPr>
              <w:widowControl w:val="0"/>
              <w:jc w:val="center"/>
              <w:rPr>
                <w:sz w:val="20"/>
              </w:rPr>
            </w:pPr>
            <w:r w:rsidRPr="00E93C8D">
              <w:rPr>
                <w:sz w:val="20"/>
              </w:rPr>
              <w:t>12165</w:t>
            </w:r>
          </w:p>
        </w:tc>
      </w:tr>
    </w:tbl>
    <w:p w:rsidR="00974BBE" w:rsidRPr="00E93C8D" w:rsidRDefault="00974BBE" w:rsidP="003E124E">
      <w:pPr>
        <w:widowControl w:val="0"/>
        <w:spacing w:before="120"/>
        <w:ind w:right="-1322"/>
        <w:jc w:val="center"/>
        <w:rPr>
          <w:b/>
          <w:sz w:val="20"/>
        </w:rPr>
      </w:pPr>
    </w:p>
    <w:p w:rsidR="00F66861" w:rsidRPr="00E93C8D" w:rsidRDefault="00F66861" w:rsidP="003E124E">
      <w:pPr>
        <w:widowControl w:val="0"/>
        <w:spacing w:before="120"/>
        <w:ind w:right="-1322"/>
        <w:jc w:val="center"/>
        <w:rPr>
          <w:b/>
          <w:sz w:val="20"/>
        </w:rPr>
      </w:pPr>
    </w:p>
    <w:tbl>
      <w:tblPr>
        <w:tblW w:w="9782" w:type="dxa"/>
        <w:tblInd w:w="-294" w:type="dxa"/>
        <w:tblCellMar>
          <w:left w:w="0" w:type="dxa"/>
          <w:right w:w="0" w:type="dxa"/>
        </w:tblCellMar>
        <w:tblLook w:val="04A0" w:firstRow="1" w:lastRow="0" w:firstColumn="1" w:lastColumn="0" w:noHBand="0" w:noVBand="1"/>
      </w:tblPr>
      <w:tblGrid>
        <w:gridCol w:w="3521"/>
        <w:gridCol w:w="6261"/>
      </w:tblGrid>
      <w:tr w:rsidR="00E93C8D" w:rsidRPr="00736676" w:rsidTr="008E31E8">
        <w:trPr>
          <w:cantSplit/>
        </w:trPr>
        <w:tc>
          <w:tcPr>
            <w:tcW w:w="978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E749B" w:rsidRPr="00E93C8D" w:rsidRDefault="00BE749B" w:rsidP="001A22BE">
            <w:pPr>
              <w:widowControl w:val="0"/>
              <w:spacing w:line="276" w:lineRule="auto"/>
              <w:ind w:right="1156"/>
              <w:rPr>
                <w:sz w:val="20"/>
                <w:lang w:val="ru-RU"/>
              </w:rPr>
            </w:pPr>
            <w:r w:rsidRPr="00E93C8D">
              <w:rPr>
                <w:b/>
                <w:bCs/>
                <w:sz w:val="20"/>
              </w:rPr>
              <w:t>Client</w:t>
            </w:r>
            <w:r w:rsidRPr="00E93C8D">
              <w:rPr>
                <w:b/>
                <w:bCs/>
                <w:sz w:val="20"/>
                <w:lang w:val="ru-RU"/>
              </w:rPr>
              <w:t>/</w:t>
            </w:r>
            <w:r w:rsidR="001A22BE" w:rsidRPr="00E93C8D">
              <w:rPr>
                <w:b/>
                <w:bCs/>
                <w:sz w:val="20"/>
                <w:lang w:val="ru-RU"/>
              </w:rPr>
              <w:t>Клиент</w:t>
            </w:r>
            <w:r w:rsidRPr="00E93C8D">
              <w:rPr>
                <w:b/>
                <w:bCs/>
                <w:sz w:val="20"/>
                <w:lang w:val="ru-RU"/>
              </w:rPr>
              <w:t xml:space="preserve">: </w:t>
            </w:r>
            <w:r w:rsidR="00F66861" w:rsidRPr="00E93C8D">
              <w:rPr>
                <w:b/>
                <w:sz w:val="20"/>
                <w:lang w:val="ru-RU"/>
              </w:rPr>
              <w:t>“</w:t>
            </w:r>
            <w:r w:rsidR="00F66861" w:rsidRPr="00E93C8D">
              <w:rPr>
                <w:b/>
                <w:sz w:val="20"/>
              </w:rPr>
              <w:t>NOVOROSSIYSK</w:t>
            </w:r>
            <w:r w:rsidR="00F66861" w:rsidRPr="00E93C8D">
              <w:rPr>
                <w:b/>
                <w:sz w:val="20"/>
                <w:lang w:val="ru-RU"/>
              </w:rPr>
              <w:t xml:space="preserve"> </w:t>
            </w:r>
            <w:r w:rsidR="00F66861" w:rsidRPr="00E93C8D">
              <w:rPr>
                <w:b/>
                <w:sz w:val="20"/>
              </w:rPr>
              <w:t>COMMERCIAL</w:t>
            </w:r>
            <w:r w:rsidR="00F66861" w:rsidRPr="00E93C8D">
              <w:rPr>
                <w:b/>
                <w:sz w:val="20"/>
                <w:lang w:val="ru-RU"/>
              </w:rPr>
              <w:t xml:space="preserve"> </w:t>
            </w:r>
            <w:r w:rsidR="00F66861" w:rsidRPr="00E93C8D">
              <w:rPr>
                <w:b/>
                <w:sz w:val="20"/>
              </w:rPr>
              <w:t>SEA</w:t>
            </w:r>
            <w:r w:rsidR="00F66861" w:rsidRPr="00E93C8D">
              <w:rPr>
                <w:b/>
                <w:sz w:val="20"/>
                <w:lang w:val="ru-RU"/>
              </w:rPr>
              <w:t xml:space="preserve"> </w:t>
            </w:r>
            <w:r w:rsidR="00F66861" w:rsidRPr="00E93C8D">
              <w:rPr>
                <w:b/>
                <w:sz w:val="20"/>
              </w:rPr>
              <w:t>PORT</w:t>
            </w:r>
            <w:r w:rsidR="00F66861" w:rsidRPr="00E93C8D">
              <w:rPr>
                <w:b/>
                <w:sz w:val="20"/>
                <w:lang w:val="ru-RU"/>
              </w:rPr>
              <w:t xml:space="preserve">”, </w:t>
            </w:r>
            <w:r w:rsidR="00F66861" w:rsidRPr="00E93C8D">
              <w:rPr>
                <w:b/>
                <w:sz w:val="20"/>
              </w:rPr>
              <w:t>PJSC</w:t>
            </w:r>
            <w:r w:rsidR="00F66861" w:rsidRPr="00E93C8D">
              <w:rPr>
                <w:b/>
                <w:sz w:val="20"/>
                <w:lang w:val="ru-RU"/>
              </w:rPr>
              <w:t>/</w:t>
            </w:r>
            <w:r w:rsidR="00F66861" w:rsidRPr="00E93C8D">
              <w:rPr>
                <w:rFonts w:eastAsia="MS Mincho"/>
                <w:b/>
                <w:sz w:val="20"/>
                <w:lang w:val="ru-RU"/>
              </w:rPr>
              <w:t xml:space="preserve"> ПАО «НОВОРОССИЙСКИЙ МОРСКОЙ ТОРГОВЫЙ ПОРТ»</w:t>
            </w:r>
          </w:p>
        </w:tc>
      </w:tr>
      <w:tr w:rsidR="00E93C8D" w:rsidRPr="00E93C8D" w:rsidTr="008E31E8">
        <w:trPr>
          <w:cantSplit/>
          <w:trHeight w:val="893"/>
        </w:trPr>
        <w:tc>
          <w:tcPr>
            <w:tcW w:w="35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749B" w:rsidRPr="00E93C8D" w:rsidRDefault="00BE749B" w:rsidP="003E124E">
            <w:pPr>
              <w:widowControl w:val="0"/>
              <w:spacing w:line="276" w:lineRule="auto"/>
              <w:rPr>
                <w:sz w:val="20"/>
              </w:rPr>
            </w:pPr>
            <w:r w:rsidRPr="00E93C8D">
              <w:rPr>
                <w:sz w:val="20"/>
                <w:lang w:val="ru-RU"/>
              </w:rPr>
              <w:t>Банковские реквизиты</w:t>
            </w:r>
            <w:r w:rsidRPr="00E93C8D">
              <w:rPr>
                <w:sz w:val="20"/>
              </w:rPr>
              <w:t xml:space="preserve"> </w:t>
            </w:r>
            <w:r w:rsidRPr="00E93C8D">
              <w:rPr>
                <w:sz w:val="20"/>
                <w:lang w:val="ru-RU"/>
              </w:rPr>
              <w:t xml:space="preserve">/ </w:t>
            </w:r>
            <w:r w:rsidRPr="00E93C8D">
              <w:rPr>
                <w:sz w:val="20"/>
              </w:rPr>
              <w:t>Banking details</w:t>
            </w:r>
          </w:p>
        </w:tc>
        <w:tc>
          <w:tcPr>
            <w:tcW w:w="6261" w:type="dxa"/>
            <w:tcBorders>
              <w:top w:val="nil"/>
              <w:left w:val="nil"/>
              <w:bottom w:val="single" w:sz="8" w:space="0" w:color="000000"/>
              <w:right w:val="single" w:sz="8" w:space="0" w:color="000000"/>
            </w:tcBorders>
            <w:tcMar>
              <w:top w:w="0" w:type="dxa"/>
              <w:left w:w="108" w:type="dxa"/>
              <w:bottom w:w="0" w:type="dxa"/>
              <w:right w:w="108" w:type="dxa"/>
            </w:tcMar>
          </w:tcPr>
          <w:p w:rsidR="00AB0A1F" w:rsidRPr="00E93C8D" w:rsidRDefault="00AB0A1F" w:rsidP="00AB0A1F">
            <w:pPr>
              <w:widowControl w:val="0"/>
              <w:spacing w:line="276" w:lineRule="auto"/>
              <w:jc w:val="left"/>
              <w:rPr>
                <w:sz w:val="20"/>
                <w:lang w:val="ru-RU"/>
              </w:rPr>
            </w:pPr>
            <w:r w:rsidRPr="00E93C8D">
              <w:rPr>
                <w:sz w:val="20"/>
                <w:lang w:val="ru-RU"/>
              </w:rPr>
              <w:t>Филиал Банка ВТБ (ПАО) в г. Ростове-на-Дону           г. Ростов-на-Дону</w:t>
            </w:r>
            <w:r w:rsidRPr="00E93C8D">
              <w:rPr>
                <w:lang w:val="ru-RU"/>
              </w:rPr>
              <w:t xml:space="preserve"> </w:t>
            </w:r>
            <w:r w:rsidRPr="00E93C8D">
              <w:rPr>
                <w:sz w:val="20"/>
                <w:lang w:val="ru-RU"/>
              </w:rPr>
              <w:t xml:space="preserve">Р/с  40702810205300001367   К/с 30101810300000000999 </w:t>
            </w:r>
          </w:p>
          <w:p w:rsidR="00BE749B" w:rsidRPr="00E93C8D" w:rsidRDefault="00AB0A1F" w:rsidP="00AB0A1F">
            <w:pPr>
              <w:widowControl w:val="0"/>
              <w:spacing w:line="276" w:lineRule="auto"/>
              <w:jc w:val="left"/>
              <w:rPr>
                <w:sz w:val="20"/>
                <w:lang w:val="ru-RU"/>
              </w:rPr>
            </w:pPr>
            <w:r w:rsidRPr="00E93C8D">
              <w:rPr>
                <w:sz w:val="20"/>
                <w:lang w:val="ru-RU"/>
              </w:rPr>
              <w:t>БИК 046015999</w:t>
            </w:r>
          </w:p>
        </w:tc>
      </w:tr>
      <w:tr w:rsidR="00E93C8D" w:rsidRPr="00E93C8D" w:rsidTr="008E31E8">
        <w:trPr>
          <w:cantSplit/>
          <w:trHeight w:val="59"/>
        </w:trPr>
        <w:tc>
          <w:tcPr>
            <w:tcW w:w="35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749B" w:rsidRPr="00E93C8D" w:rsidRDefault="00BE749B" w:rsidP="003E124E">
            <w:pPr>
              <w:widowControl w:val="0"/>
              <w:spacing w:line="276" w:lineRule="auto"/>
              <w:rPr>
                <w:sz w:val="20"/>
              </w:rPr>
            </w:pPr>
            <w:r w:rsidRPr="00E93C8D">
              <w:rPr>
                <w:sz w:val="20"/>
                <w:lang w:val="ru-RU"/>
              </w:rPr>
              <w:t>Юридический</w:t>
            </w:r>
            <w:r w:rsidRPr="00E93C8D">
              <w:rPr>
                <w:sz w:val="20"/>
              </w:rPr>
              <w:t xml:space="preserve"> </w:t>
            </w:r>
            <w:r w:rsidRPr="00E93C8D">
              <w:rPr>
                <w:sz w:val="20"/>
                <w:lang w:val="ru-RU"/>
              </w:rPr>
              <w:t>адрес</w:t>
            </w:r>
            <w:r w:rsidRPr="00E93C8D">
              <w:rPr>
                <w:sz w:val="20"/>
              </w:rPr>
              <w:t xml:space="preserve"> (</w:t>
            </w:r>
            <w:r w:rsidRPr="00E93C8D">
              <w:rPr>
                <w:sz w:val="20"/>
                <w:lang w:val="ru-RU"/>
              </w:rPr>
              <w:t>вкл</w:t>
            </w:r>
            <w:r w:rsidRPr="00E93C8D">
              <w:rPr>
                <w:sz w:val="20"/>
              </w:rPr>
              <w:t xml:space="preserve">. </w:t>
            </w:r>
            <w:r w:rsidRPr="00E93C8D">
              <w:rPr>
                <w:sz w:val="20"/>
                <w:lang w:val="ru-RU"/>
              </w:rPr>
              <w:t>индекс</w:t>
            </w:r>
            <w:r w:rsidRPr="00E93C8D">
              <w:rPr>
                <w:sz w:val="20"/>
              </w:rPr>
              <w:t>) / Legal Address (inc. postcode)</w:t>
            </w:r>
          </w:p>
        </w:tc>
        <w:tc>
          <w:tcPr>
            <w:tcW w:w="6261" w:type="dxa"/>
            <w:tcBorders>
              <w:top w:val="nil"/>
              <w:left w:val="nil"/>
              <w:bottom w:val="single" w:sz="8" w:space="0" w:color="000000"/>
              <w:right w:val="single" w:sz="8" w:space="0" w:color="000000"/>
            </w:tcBorders>
            <w:tcMar>
              <w:top w:w="0" w:type="dxa"/>
              <w:left w:w="108" w:type="dxa"/>
              <w:bottom w:w="0" w:type="dxa"/>
              <w:right w:w="108" w:type="dxa"/>
            </w:tcMar>
          </w:tcPr>
          <w:p w:rsidR="00BE749B" w:rsidRPr="00E93C8D" w:rsidRDefault="00AB0A1F" w:rsidP="00AB0A1F">
            <w:pPr>
              <w:widowControl w:val="0"/>
              <w:spacing w:line="276" w:lineRule="auto"/>
              <w:jc w:val="left"/>
              <w:rPr>
                <w:sz w:val="20"/>
              </w:rPr>
            </w:pPr>
            <w:r w:rsidRPr="00E93C8D">
              <w:rPr>
                <w:sz w:val="20"/>
                <w:lang w:val="ru-RU"/>
              </w:rPr>
              <w:t xml:space="preserve">353900, Россия, край. Краснодарский, г. Новороссийск, ул. </w:t>
            </w:r>
            <w:r w:rsidRPr="00E93C8D">
              <w:rPr>
                <w:sz w:val="20"/>
              </w:rPr>
              <w:t>Портовая, д. 14</w:t>
            </w:r>
          </w:p>
        </w:tc>
      </w:tr>
      <w:tr w:rsidR="00E93C8D" w:rsidRPr="00E93C8D" w:rsidTr="008E31E8">
        <w:trPr>
          <w:cantSplit/>
          <w:trHeight w:val="59"/>
        </w:trPr>
        <w:tc>
          <w:tcPr>
            <w:tcW w:w="35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749B" w:rsidRPr="00E93C8D" w:rsidRDefault="00BE749B" w:rsidP="003E124E">
            <w:pPr>
              <w:widowControl w:val="0"/>
              <w:spacing w:line="276" w:lineRule="auto"/>
              <w:ind w:right="9"/>
              <w:rPr>
                <w:sz w:val="20"/>
              </w:rPr>
            </w:pPr>
            <w:r w:rsidRPr="00E93C8D">
              <w:rPr>
                <w:sz w:val="20"/>
                <w:lang w:val="ru-RU"/>
              </w:rPr>
              <w:t>Телефон</w:t>
            </w:r>
            <w:r w:rsidRPr="00E93C8D">
              <w:rPr>
                <w:sz w:val="20"/>
              </w:rPr>
              <w:t xml:space="preserve"> </w:t>
            </w:r>
            <w:r w:rsidRPr="00E93C8D">
              <w:rPr>
                <w:sz w:val="20"/>
                <w:lang w:val="ru-RU"/>
              </w:rPr>
              <w:t xml:space="preserve">/ </w:t>
            </w:r>
            <w:r w:rsidRPr="00E93C8D">
              <w:rPr>
                <w:sz w:val="20"/>
              </w:rPr>
              <w:t>Phone</w:t>
            </w:r>
          </w:p>
        </w:tc>
        <w:tc>
          <w:tcPr>
            <w:tcW w:w="6261" w:type="dxa"/>
            <w:tcBorders>
              <w:top w:val="nil"/>
              <w:left w:val="nil"/>
              <w:bottom w:val="single" w:sz="8" w:space="0" w:color="000000"/>
              <w:right w:val="single" w:sz="8" w:space="0" w:color="000000"/>
            </w:tcBorders>
            <w:tcMar>
              <w:top w:w="0" w:type="dxa"/>
              <w:left w:w="108" w:type="dxa"/>
              <w:bottom w:w="0" w:type="dxa"/>
              <w:right w:w="108" w:type="dxa"/>
            </w:tcMar>
          </w:tcPr>
          <w:p w:rsidR="00BE749B" w:rsidRPr="00E93C8D" w:rsidRDefault="00AB0A1F" w:rsidP="00AB0A1F">
            <w:pPr>
              <w:widowControl w:val="0"/>
              <w:spacing w:line="276" w:lineRule="auto"/>
              <w:jc w:val="left"/>
              <w:rPr>
                <w:sz w:val="20"/>
              </w:rPr>
            </w:pPr>
            <w:r w:rsidRPr="00E93C8D">
              <w:rPr>
                <w:sz w:val="20"/>
              </w:rPr>
              <w:t>(8617) 60-44-94</w:t>
            </w:r>
          </w:p>
        </w:tc>
      </w:tr>
      <w:tr w:rsidR="00E93C8D" w:rsidRPr="00E93C8D" w:rsidTr="008E31E8">
        <w:trPr>
          <w:cantSplit/>
          <w:trHeight w:val="59"/>
        </w:trPr>
        <w:tc>
          <w:tcPr>
            <w:tcW w:w="35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749B" w:rsidRPr="00E93C8D" w:rsidRDefault="00BE749B" w:rsidP="003E124E">
            <w:pPr>
              <w:widowControl w:val="0"/>
              <w:spacing w:line="276" w:lineRule="auto"/>
              <w:ind w:right="9"/>
              <w:rPr>
                <w:sz w:val="20"/>
                <w:lang w:val="ru-RU"/>
              </w:rPr>
            </w:pPr>
            <w:r w:rsidRPr="00E93C8D">
              <w:rPr>
                <w:sz w:val="20"/>
                <w:lang w:val="ru-RU"/>
              </w:rPr>
              <w:t>Факс</w:t>
            </w:r>
            <w:r w:rsidRPr="00E93C8D">
              <w:rPr>
                <w:sz w:val="20"/>
              </w:rPr>
              <w:t xml:space="preserve"> </w:t>
            </w:r>
            <w:r w:rsidRPr="00E93C8D">
              <w:rPr>
                <w:sz w:val="20"/>
                <w:lang w:val="ru-RU"/>
              </w:rPr>
              <w:t>/</w:t>
            </w:r>
            <w:r w:rsidRPr="00E93C8D">
              <w:rPr>
                <w:sz w:val="20"/>
              </w:rPr>
              <w:t xml:space="preserve"> Fax</w:t>
            </w:r>
          </w:p>
        </w:tc>
        <w:tc>
          <w:tcPr>
            <w:tcW w:w="6261" w:type="dxa"/>
            <w:tcBorders>
              <w:top w:val="nil"/>
              <w:left w:val="nil"/>
              <w:bottom w:val="single" w:sz="8" w:space="0" w:color="000000"/>
              <w:right w:val="single" w:sz="8" w:space="0" w:color="000000"/>
            </w:tcBorders>
            <w:tcMar>
              <w:top w:w="0" w:type="dxa"/>
              <w:left w:w="108" w:type="dxa"/>
              <w:bottom w:w="0" w:type="dxa"/>
              <w:right w:w="108" w:type="dxa"/>
            </w:tcMar>
          </w:tcPr>
          <w:p w:rsidR="00BE749B" w:rsidRPr="00E93C8D" w:rsidRDefault="00BE749B" w:rsidP="00F23B97">
            <w:pPr>
              <w:widowControl w:val="0"/>
              <w:spacing w:line="276" w:lineRule="auto"/>
              <w:jc w:val="center"/>
              <w:rPr>
                <w:sz w:val="20"/>
              </w:rPr>
            </w:pPr>
          </w:p>
        </w:tc>
      </w:tr>
      <w:tr w:rsidR="00E93C8D" w:rsidRPr="00E93C8D" w:rsidTr="008E31E8">
        <w:trPr>
          <w:cantSplit/>
          <w:trHeight w:val="59"/>
        </w:trPr>
        <w:tc>
          <w:tcPr>
            <w:tcW w:w="35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749B" w:rsidRPr="00E93C8D" w:rsidRDefault="00BE749B" w:rsidP="003E124E">
            <w:pPr>
              <w:widowControl w:val="0"/>
              <w:spacing w:line="276" w:lineRule="auto"/>
              <w:rPr>
                <w:sz w:val="20"/>
              </w:rPr>
            </w:pPr>
            <w:r w:rsidRPr="00E93C8D">
              <w:rPr>
                <w:sz w:val="20"/>
              </w:rPr>
              <w:t xml:space="preserve">ИНН / INN (TIN) </w:t>
            </w:r>
          </w:p>
        </w:tc>
        <w:tc>
          <w:tcPr>
            <w:tcW w:w="6261" w:type="dxa"/>
            <w:tcBorders>
              <w:top w:val="nil"/>
              <w:left w:val="nil"/>
              <w:bottom w:val="single" w:sz="8" w:space="0" w:color="000000"/>
              <w:right w:val="single" w:sz="8" w:space="0" w:color="000000"/>
            </w:tcBorders>
            <w:tcMar>
              <w:top w:w="0" w:type="dxa"/>
              <w:left w:w="108" w:type="dxa"/>
              <w:bottom w:w="0" w:type="dxa"/>
              <w:right w:w="108" w:type="dxa"/>
            </w:tcMar>
          </w:tcPr>
          <w:p w:rsidR="00BE749B" w:rsidRPr="00E93C8D" w:rsidRDefault="00AB0A1F" w:rsidP="00AB0A1F">
            <w:pPr>
              <w:widowControl w:val="0"/>
              <w:spacing w:line="276" w:lineRule="auto"/>
              <w:jc w:val="left"/>
              <w:rPr>
                <w:sz w:val="20"/>
              </w:rPr>
            </w:pPr>
            <w:r w:rsidRPr="00E93C8D">
              <w:rPr>
                <w:sz w:val="20"/>
              </w:rPr>
              <w:t>2315004404</w:t>
            </w:r>
          </w:p>
        </w:tc>
      </w:tr>
      <w:tr w:rsidR="00E93C8D" w:rsidRPr="00E93C8D" w:rsidTr="008E31E8">
        <w:trPr>
          <w:cantSplit/>
          <w:trHeight w:val="59"/>
        </w:trPr>
        <w:tc>
          <w:tcPr>
            <w:tcW w:w="35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749B" w:rsidRPr="00E93C8D" w:rsidRDefault="00BE749B" w:rsidP="003E124E">
            <w:pPr>
              <w:widowControl w:val="0"/>
              <w:spacing w:line="276" w:lineRule="auto"/>
              <w:rPr>
                <w:sz w:val="20"/>
              </w:rPr>
            </w:pPr>
            <w:r w:rsidRPr="00E93C8D">
              <w:rPr>
                <w:sz w:val="20"/>
              </w:rPr>
              <w:t>КПП / KPP</w:t>
            </w:r>
          </w:p>
        </w:tc>
        <w:tc>
          <w:tcPr>
            <w:tcW w:w="6261" w:type="dxa"/>
            <w:tcBorders>
              <w:top w:val="nil"/>
              <w:left w:val="nil"/>
              <w:bottom w:val="single" w:sz="8" w:space="0" w:color="000000"/>
              <w:right w:val="single" w:sz="8" w:space="0" w:color="000000"/>
            </w:tcBorders>
            <w:tcMar>
              <w:top w:w="0" w:type="dxa"/>
              <w:left w:w="108" w:type="dxa"/>
              <w:bottom w:w="0" w:type="dxa"/>
              <w:right w:w="108" w:type="dxa"/>
            </w:tcMar>
          </w:tcPr>
          <w:p w:rsidR="00BE749B" w:rsidRPr="00E93C8D" w:rsidRDefault="00AB0A1F" w:rsidP="00AB0A1F">
            <w:pPr>
              <w:widowControl w:val="0"/>
              <w:spacing w:line="276" w:lineRule="auto"/>
              <w:jc w:val="left"/>
              <w:rPr>
                <w:sz w:val="20"/>
              </w:rPr>
            </w:pPr>
            <w:r w:rsidRPr="00E93C8D">
              <w:rPr>
                <w:sz w:val="20"/>
              </w:rPr>
              <w:t xml:space="preserve"> 997650001</w:t>
            </w:r>
          </w:p>
        </w:tc>
      </w:tr>
    </w:tbl>
    <w:p w:rsidR="00536328" w:rsidRPr="00E93C8D" w:rsidRDefault="00536328" w:rsidP="003E124E">
      <w:pPr>
        <w:widowControl w:val="0"/>
        <w:rPr>
          <w:sz w:val="20"/>
        </w:rPr>
      </w:pPr>
    </w:p>
    <w:p w:rsidR="00536328" w:rsidRPr="00E93C8D" w:rsidRDefault="00536328" w:rsidP="003E124E">
      <w:pPr>
        <w:widowControl w:val="0"/>
        <w:rPr>
          <w:sz w:val="20"/>
        </w:rPr>
      </w:pPr>
    </w:p>
    <w:tbl>
      <w:tblPr>
        <w:tblStyle w:val="af2"/>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E93C8D" w:rsidRPr="00736676" w:rsidTr="008E31E8">
        <w:tc>
          <w:tcPr>
            <w:tcW w:w="9782" w:type="dxa"/>
          </w:tcPr>
          <w:p w:rsidR="00401A3D" w:rsidRPr="00E93C8D" w:rsidRDefault="00401A3D" w:rsidP="003E124E">
            <w:pPr>
              <w:pStyle w:val="9"/>
              <w:widowControl w:val="0"/>
              <w:spacing w:before="0" w:after="0"/>
              <w:ind w:left="284" w:right="-3" w:hanging="284"/>
              <w:outlineLvl w:val="8"/>
              <w:rPr>
                <w:rFonts w:ascii="Times New Roman" w:hAnsi="Times New Roman" w:cs="Times New Roman"/>
                <w:sz w:val="20"/>
                <w:szCs w:val="20"/>
              </w:rPr>
            </w:pPr>
            <w:r w:rsidRPr="00E93C8D">
              <w:rPr>
                <w:rFonts w:ascii="Times New Roman" w:hAnsi="Times New Roman" w:cs="Times New Roman"/>
                <w:sz w:val="20"/>
                <w:szCs w:val="20"/>
              </w:rPr>
              <w:t xml:space="preserve">Signed on behalf of </w:t>
            </w:r>
            <w:r w:rsidR="00451A94" w:rsidRPr="00E93C8D">
              <w:rPr>
                <w:rFonts w:ascii="Times New Roman" w:hAnsi="Times New Roman" w:cs="Times New Roman"/>
                <w:sz w:val="20"/>
                <w:szCs w:val="20"/>
              </w:rPr>
              <w:t xml:space="preserve">Deloitte </w:t>
            </w:r>
            <w:r w:rsidRPr="00E93C8D">
              <w:rPr>
                <w:rFonts w:ascii="Times New Roman" w:hAnsi="Times New Roman" w:cs="Times New Roman"/>
                <w:sz w:val="20"/>
                <w:szCs w:val="20"/>
              </w:rPr>
              <w:t>/</w:t>
            </w:r>
            <w:r w:rsidR="00451A94" w:rsidRPr="00E93C8D">
              <w:rPr>
                <w:rFonts w:ascii="Times New Roman" w:hAnsi="Times New Roman" w:cs="Times New Roman"/>
                <w:sz w:val="20"/>
                <w:szCs w:val="20"/>
              </w:rPr>
              <w:t xml:space="preserve"> </w:t>
            </w:r>
            <w:r w:rsidRPr="00E93C8D">
              <w:rPr>
                <w:rFonts w:ascii="Times New Roman" w:hAnsi="Times New Roman" w:cs="Times New Roman"/>
                <w:sz w:val="20"/>
                <w:szCs w:val="20"/>
                <w:lang w:val="ru-RU"/>
              </w:rPr>
              <w:t>Подписано</w:t>
            </w:r>
            <w:r w:rsidRPr="00E93C8D">
              <w:rPr>
                <w:rFonts w:ascii="Times New Roman" w:hAnsi="Times New Roman" w:cs="Times New Roman"/>
                <w:sz w:val="20"/>
                <w:szCs w:val="20"/>
              </w:rPr>
              <w:t xml:space="preserve"> </w:t>
            </w:r>
            <w:r w:rsidRPr="00E93C8D">
              <w:rPr>
                <w:rFonts w:ascii="Times New Roman" w:hAnsi="Times New Roman" w:cs="Times New Roman"/>
                <w:sz w:val="20"/>
                <w:szCs w:val="20"/>
                <w:lang w:val="ru-RU"/>
              </w:rPr>
              <w:t>от</w:t>
            </w:r>
            <w:r w:rsidRPr="00E93C8D">
              <w:rPr>
                <w:rFonts w:ascii="Times New Roman" w:hAnsi="Times New Roman" w:cs="Times New Roman"/>
                <w:sz w:val="20"/>
                <w:szCs w:val="20"/>
              </w:rPr>
              <w:t xml:space="preserve"> </w:t>
            </w:r>
            <w:r w:rsidRPr="00E93C8D">
              <w:rPr>
                <w:rFonts w:ascii="Times New Roman" w:hAnsi="Times New Roman" w:cs="Times New Roman"/>
                <w:sz w:val="20"/>
                <w:szCs w:val="20"/>
                <w:lang w:val="ru-RU"/>
              </w:rPr>
              <w:t>имени</w:t>
            </w:r>
            <w:r w:rsidRPr="00E93C8D">
              <w:rPr>
                <w:rFonts w:ascii="Times New Roman" w:hAnsi="Times New Roman" w:cs="Times New Roman"/>
                <w:sz w:val="20"/>
                <w:szCs w:val="20"/>
              </w:rPr>
              <w:t xml:space="preserve"> </w:t>
            </w:r>
            <w:r w:rsidR="00451A94" w:rsidRPr="00E93C8D">
              <w:rPr>
                <w:rFonts w:ascii="Times New Roman" w:hAnsi="Times New Roman" w:cs="Times New Roman"/>
                <w:sz w:val="20"/>
                <w:szCs w:val="20"/>
                <w:lang w:val="ru-RU"/>
              </w:rPr>
              <w:t>Делойт</w:t>
            </w:r>
          </w:p>
          <w:p w:rsidR="00C22B06" w:rsidRPr="00E93C8D" w:rsidRDefault="00C22B06" w:rsidP="003E124E">
            <w:pPr>
              <w:pStyle w:val="Normal12"/>
              <w:widowControl w:val="0"/>
              <w:spacing w:before="0"/>
              <w:rPr>
                <w:sz w:val="20"/>
              </w:rPr>
            </w:pPr>
          </w:p>
          <w:p w:rsidR="00401A3D" w:rsidRPr="00E93C8D" w:rsidRDefault="00401A3D" w:rsidP="003E124E">
            <w:pPr>
              <w:pStyle w:val="Normal12"/>
              <w:widowControl w:val="0"/>
              <w:spacing w:before="0"/>
              <w:rPr>
                <w:sz w:val="20"/>
              </w:rPr>
            </w:pPr>
          </w:p>
          <w:p w:rsidR="00401A3D" w:rsidRPr="00E93C8D" w:rsidRDefault="00401A3D" w:rsidP="003E124E">
            <w:pPr>
              <w:pStyle w:val="Normal12"/>
              <w:widowControl w:val="0"/>
              <w:spacing w:before="0"/>
              <w:rPr>
                <w:sz w:val="20"/>
              </w:rPr>
            </w:pPr>
          </w:p>
          <w:p w:rsidR="00C22B06" w:rsidRPr="00E93C8D" w:rsidRDefault="00D364F2" w:rsidP="003E124E">
            <w:pPr>
              <w:widowControl w:val="0"/>
              <w:rPr>
                <w:sz w:val="20"/>
              </w:rPr>
            </w:pPr>
            <w:r w:rsidRPr="00E93C8D">
              <w:rPr>
                <w:sz w:val="20"/>
              </w:rPr>
              <w:t>Silantiev Andrey</w:t>
            </w:r>
            <w:r w:rsidR="00451A94" w:rsidRPr="00E93C8D">
              <w:rPr>
                <w:sz w:val="20"/>
              </w:rPr>
              <w:t xml:space="preserve">, </w:t>
            </w:r>
            <w:r w:rsidR="00C22B06" w:rsidRPr="00E93C8D">
              <w:rPr>
                <w:sz w:val="20"/>
              </w:rPr>
              <w:t>Partner</w:t>
            </w:r>
            <w:r w:rsidR="00401A3D" w:rsidRPr="00E93C8D">
              <w:rPr>
                <w:sz w:val="20"/>
              </w:rPr>
              <w:t>, a</w:t>
            </w:r>
            <w:r w:rsidR="00C22B06" w:rsidRPr="00E93C8D">
              <w:rPr>
                <w:sz w:val="20"/>
              </w:rPr>
              <w:t>cting on the basis of the po</w:t>
            </w:r>
            <w:r w:rsidRPr="00E93C8D">
              <w:rPr>
                <w:sz w:val="20"/>
              </w:rPr>
              <w:t>wer of attorney dated 15 November 2016</w:t>
            </w:r>
          </w:p>
          <w:p w:rsidR="00C22B06" w:rsidRPr="00E93C8D" w:rsidRDefault="00122615" w:rsidP="003E124E">
            <w:pPr>
              <w:widowControl w:val="0"/>
              <w:spacing w:line="240" w:lineRule="exact"/>
              <w:rPr>
                <w:sz w:val="20"/>
                <w:lang w:val="ru-RU"/>
              </w:rPr>
            </w:pPr>
            <w:r w:rsidRPr="00E93C8D">
              <w:rPr>
                <w:sz w:val="20"/>
                <w:lang w:val="ru-RU"/>
              </w:rPr>
              <w:t>Силанть</w:t>
            </w:r>
            <w:r w:rsidR="00D364F2" w:rsidRPr="00E93C8D">
              <w:rPr>
                <w:sz w:val="20"/>
                <w:lang w:val="ru-RU"/>
              </w:rPr>
              <w:t>ев Андрей</w:t>
            </w:r>
            <w:r w:rsidR="00451A94" w:rsidRPr="00E93C8D">
              <w:rPr>
                <w:sz w:val="20"/>
                <w:lang w:val="ru-RU"/>
              </w:rPr>
              <w:t xml:space="preserve">, </w:t>
            </w:r>
            <w:r w:rsidR="00401A3D" w:rsidRPr="00E93C8D">
              <w:rPr>
                <w:sz w:val="20"/>
                <w:lang w:val="ru-RU"/>
              </w:rPr>
              <w:t>Партнер</w:t>
            </w:r>
            <w:r w:rsidR="00451A94" w:rsidRPr="00E93C8D">
              <w:rPr>
                <w:sz w:val="20"/>
                <w:lang w:val="ru-RU"/>
              </w:rPr>
              <w:t>,</w:t>
            </w:r>
            <w:r w:rsidR="00401A3D" w:rsidRPr="00E93C8D">
              <w:rPr>
                <w:sz w:val="20"/>
                <w:lang w:val="ru-RU"/>
              </w:rPr>
              <w:t xml:space="preserve"> д</w:t>
            </w:r>
            <w:r w:rsidR="00C22B06" w:rsidRPr="00E93C8D">
              <w:rPr>
                <w:sz w:val="20"/>
                <w:lang w:val="ru-RU"/>
              </w:rPr>
              <w:t>ействующий на осн</w:t>
            </w:r>
            <w:r w:rsidR="00D364F2" w:rsidRPr="00E93C8D">
              <w:rPr>
                <w:sz w:val="20"/>
                <w:lang w:val="ru-RU"/>
              </w:rPr>
              <w:t>овании доверенности от 15 ноября 2016 г.</w:t>
            </w:r>
          </w:p>
          <w:p w:rsidR="00C22B06" w:rsidRPr="00E93C8D" w:rsidRDefault="00C22B06" w:rsidP="003E124E">
            <w:pPr>
              <w:widowControl w:val="0"/>
              <w:spacing w:line="240" w:lineRule="exact"/>
              <w:rPr>
                <w:sz w:val="20"/>
                <w:lang w:val="ru-RU"/>
              </w:rPr>
            </w:pPr>
          </w:p>
          <w:p w:rsidR="00C22B06" w:rsidRPr="00E93C8D" w:rsidRDefault="00C22B06" w:rsidP="003E124E">
            <w:pPr>
              <w:widowControl w:val="0"/>
              <w:spacing w:line="240" w:lineRule="exact"/>
              <w:rPr>
                <w:sz w:val="20"/>
                <w:lang w:val="ru-RU"/>
              </w:rPr>
            </w:pPr>
          </w:p>
        </w:tc>
      </w:tr>
      <w:tr w:rsidR="00E93C8D" w:rsidRPr="00736676" w:rsidTr="008E31E8">
        <w:tc>
          <w:tcPr>
            <w:tcW w:w="9782" w:type="dxa"/>
          </w:tcPr>
          <w:p w:rsidR="00C22B06" w:rsidRPr="00E93C8D" w:rsidRDefault="0006795C" w:rsidP="003E124E">
            <w:pPr>
              <w:pStyle w:val="9"/>
              <w:widowControl w:val="0"/>
              <w:spacing w:before="0" w:after="0"/>
              <w:ind w:left="284" w:right="-3" w:hanging="284"/>
              <w:outlineLvl w:val="8"/>
              <w:rPr>
                <w:rFonts w:ascii="Times New Roman" w:hAnsi="Times New Roman" w:cs="Times New Roman"/>
                <w:sz w:val="20"/>
                <w:szCs w:val="20"/>
              </w:rPr>
            </w:pPr>
            <w:r w:rsidRPr="00E93C8D">
              <w:rPr>
                <w:rFonts w:ascii="Times New Roman" w:hAnsi="Times New Roman" w:cs="Times New Roman"/>
                <w:sz w:val="20"/>
                <w:szCs w:val="20"/>
              </w:rPr>
              <w:t>S</w:t>
            </w:r>
            <w:r w:rsidR="00C22B06" w:rsidRPr="00E93C8D">
              <w:rPr>
                <w:rFonts w:ascii="Times New Roman" w:hAnsi="Times New Roman" w:cs="Times New Roman"/>
                <w:sz w:val="20"/>
                <w:szCs w:val="20"/>
              </w:rPr>
              <w:t xml:space="preserve">igned on behalf of </w:t>
            </w:r>
            <w:r w:rsidR="00451A94" w:rsidRPr="00E93C8D">
              <w:rPr>
                <w:rFonts w:ascii="Times New Roman" w:hAnsi="Times New Roman" w:cs="Times New Roman"/>
                <w:sz w:val="20"/>
                <w:szCs w:val="20"/>
              </w:rPr>
              <w:t xml:space="preserve">the Client / </w:t>
            </w:r>
            <w:r w:rsidR="00C22B06" w:rsidRPr="00E93C8D">
              <w:rPr>
                <w:rFonts w:ascii="Times New Roman" w:hAnsi="Times New Roman" w:cs="Times New Roman"/>
                <w:sz w:val="20"/>
                <w:szCs w:val="20"/>
                <w:lang w:val="ru-RU"/>
              </w:rPr>
              <w:t>Подписано</w:t>
            </w:r>
            <w:r w:rsidR="00C22B06" w:rsidRPr="00E93C8D">
              <w:rPr>
                <w:rFonts w:ascii="Times New Roman" w:hAnsi="Times New Roman" w:cs="Times New Roman"/>
                <w:sz w:val="20"/>
                <w:szCs w:val="20"/>
              </w:rPr>
              <w:t xml:space="preserve"> </w:t>
            </w:r>
            <w:r w:rsidR="00C22B06" w:rsidRPr="00E93C8D">
              <w:rPr>
                <w:rFonts w:ascii="Times New Roman" w:hAnsi="Times New Roman" w:cs="Times New Roman"/>
                <w:sz w:val="20"/>
                <w:szCs w:val="20"/>
                <w:lang w:val="ru-RU"/>
              </w:rPr>
              <w:t>от</w:t>
            </w:r>
            <w:r w:rsidR="00C22B06" w:rsidRPr="00E93C8D">
              <w:rPr>
                <w:rFonts w:ascii="Times New Roman" w:hAnsi="Times New Roman" w:cs="Times New Roman"/>
                <w:sz w:val="20"/>
                <w:szCs w:val="20"/>
              </w:rPr>
              <w:t xml:space="preserve"> </w:t>
            </w:r>
            <w:r w:rsidR="00C22B06" w:rsidRPr="00E93C8D">
              <w:rPr>
                <w:rFonts w:ascii="Times New Roman" w:hAnsi="Times New Roman" w:cs="Times New Roman"/>
                <w:sz w:val="20"/>
                <w:szCs w:val="20"/>
                <w:lang w:val="ru-RU"/>
              </w:rPr>
              <w:t>имени</w:t>
            </w:r>
            <w:r w:rsidR="00C22B06" w:rsidRPr="00E93C8D">
              <w:rPr>
                <w:rFonts w:ascii="Times New Roman" w:hAnsi="Times New Roman" w:cs="Times New Roman"/>
                <w:sz w:val="20"/>
                <w:szCs w:val="20"/>
              </w:rPr>
              <w:t xml:space="preserve"> </w:t>
            </w:r>
            <w:r w:rsidR="00451A94" w:rsidRPr="00E93C8D">
              <w:rPr>
                <w:rFonts w:ascii="Times New Roman" w:hAnsi="Times New Roman" w:cs="Times New Roman"/>
                <w:sz w:val="20"/>
                <w:szCs w:val="20"/>
                <w:lang w:val="ru-RU"/>
              </w:rPr>
              <w:t>Клиента</w:t>
            </w:r>
          </w:p>
          <w:p w:rsidR="00C22B06" w:rsidRPr="00E93C8D" w:rsidRDefault="00C22B06" w:rsidP="003E124E">
            <w:pPr>
              <w:widowControl w:val="0"/>
              <w:autoSpaceDE w:val="0"/>
              <w:autoSpaceDN w:val="0"/>
              <w:adjustRightInd w:val="0"/>
              <w:rPr>
                <w:sz w:val="20"/>
              </w:rPr>
            </w:pPr>
          </w:p>
          <w:p w:rsidR="00C22B06" w:rsidRPr="00E93C8D" w:rsidRDefault="00C22B06" w:rsidP="003E124E">
            <w:pPr>
              <w:widowControl w:val="0"/>
              <w:autoSpaceDE w:val="0"/>
              <w:autoSpaceDN w:val="0"/>
              <w:adjustRightInd w:val="0"/>
              <w:rPr>
                <w:sz w:val="20"/>
              </w:rPr>
            </w:pPr>
          </w:p>
          <w:p w:rsidR="00C312D8" w:rsidRPr="00C312D8" w:rsidRDefault="00C312D8" w:rsidP="00C312D8">
            <w:pPr>
              <w:widowControl w:val="0"/>
              <w:autoSpaceDE w:val="0"/>
              <w:autoSpaceDN w:val="0"/>
              <w:adjustRightInd w:val="0"/>
              <w:rPr>
                <w:sz w:val="20"/>
              </w:rPr>
            </w:pPr>
            <w:r w:rsidRPr="00C312D8">
              <w:rPr>
                <w:sz w:val="20"/>
              </w:rPr>
              <w:t>Director for legal support – head of legal services group of companies PJSC "NCSP" Borovok E.V., acting on the basis of the power of attorney № 2110-07/424  dated 25.12.2015</w:t>
            </w:r>
          </w:p>
          <w:p w:rsidR="00C22B06" w:rsidRPr="00E93C8D" w:rsidRDefault="00F24AA9" w:rsidP="00F24AA9">
            <w:pPr>
              <w:widowControl w:val="0"/>
              <w:ind w:right="851"/>
              <w:rPr>
                <w:sz w:val="20"/>
                <w:lang w:val="ru-RU"/>
              </w:rPr>
            </w:pPr>
            <w:r w:rsidRPr="00E93C8D">
              <w:rPr>
                <w:sz w:val="20"/>
                <w:lang w:val="ru-RU"/>
              </w:rPr>
              <w:t>Директор по правовому обеспечению – руководитель юридических служб группы компаний ПАО «НМТП» Боровок Эдуард Валерьевич,  действующий на основании Доверенности № 2110-07/424 от 25.12.2015 года</w:t>
            </w:r>
            <w:r w:rsidR="00451A94" w:rsidRPr="00E93C8D">
              <w:rPr>
                <w:sz w:val="20"/>
                <w:lang w:val="ru-RU"/>
              </w:rPr>
              <w:t xml:space="preserve"> </w:t>
            </w:r>
          </w:p>
        </w:tc>
      </w:tr>
    </w:tbl>
    <w:p w:rsidR="006608B5" w:rsidRPr="00E93C8D" w:rsidRDefault="006608B5">
      <w:pPr>
        <w:jc w:val="left"/>
        <w:rPr>
          <w:sz w:val="20"/>
          <w:lang w:val="ru-RU"/>
        </w:rPr>
      </w:pPr>
      <w:r w:rsidRPr="00E93C8D">
        <w:rPr>
          <w:sz w:val="20"/>
          <w:lang w:val="ru-RU"/>
        </w:rPr>
        <w:br w:type="page"/>
      </w:r>
    </w:p>
    <w:tbl>
      <w:tblPr>
        <w:tblStyle w:val="af2"/>
        <w:tblW w:w="100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428"/>
        <w:gridCol w:w="392"/>
        <w:gridCol w:w="4428"/>
        <w:gridCol w:w="392"/>
      </w:tblGrid>
      <w:tr w:rsidR="00E93C8D" w:rsidRPr="00E93C8D" w:rsidTr="009576BA">
        <w:trPr>
          <w:gridAfter w:val="1"/>
          <w:wAfter w:w="392" w:type="dxa"/>
          <w:cantSplit/>
        </w:trPr>
        <w:tc>
          <w:tcPr>
            <w:tcW w:w="9640" w:type="dxa"/>
            <w:gridSpan w:val="4"/>
          </w:tcPr>
          <w:p w:rsidR="008B7AE3" w:rsidRPr="00E93C8D" w:rsidRDefault="008B7AE3" w:rsidP="003E124E">
            <w:pPr>
              <w:pStyle w:val="1"/>
              <w:keepNext w:val="0"/>
              <w:widowControl w:val="0"/>
              <w:numPr>
                <w:ilvl w:val="0"/>
                <w:numId w:val="0"/>
              </w:numPr>
              <w:spacing w:after="120"/>
              <w:ind w:left="181"/>
              <w:jc w:val="right"/>
              <w:outlineLvl w:val="0"/>
              <w:rPr>
                <w:b w:val="0"/>
                <w:i w:val="0"/>
                <w:sz w:val="20"/>
                <w:lang w:val="ru-RU"/>
              </w:rPr>
            </w:pPr>
            <w:r w:rsidRPr="00E93C8D">
              <w:rPr>
                <w:i w:val="0"/>
                <w:sz w:val="20"/>
              </w:rPr>
              <w:lastRenderedPageBreak/>
              <w:t xml:space="preserve">Appendix No. 1 to </w:t>
            </w:r>
            <w:r w:rsidR="009C39CB" w:rsidRPr="00E93C8D">
              <w:rPr>
                <w:i w:val="0"/>
                <w:sz w:val="20"/>
              </w:rPr>
              <w:t xml:space="preserve">the </w:t>
            </w:r>
            <w:r w:rsidRPr="00E93C8D">
              <w:rPr>
                <w:i w:val="0"/>
                <w:sz w:val="20"/>
              </w:rPr>
              <w:t xml:space="preserve">Engagement letter No. </w:t>
            </w:r>
            <w:r w:rsidR="009C39CB" w:rsidRPr="00E93C8D">
              <w:rPr>
                <w:i w:val="0"/>
                <w:sz w:val="20"/>
              </w:rPr>
              <w:t>Tax</w:t>
            </w:r>
            <w:r w:rsidR="00D364F2" w:rsidRPr="00E93C8D">
              <w:rPr>
                <w:i w:val="0"/>
                <w:sz w:val="20"/>
                <w:lang w:val="ru-RU"/>
              </w:rPr>
              <w:t>/2016/43236</w:t>
            </w:r>
            <w:r w:rsidRPr="00E93C8D">
              <w:rPr>
                <w:i w:val="0"/>
                <w:sz w:val="20"/>
                <w:lang w:val="ru-RU"/>
              </w:rPr>
              <w:t xml:space="preserve"> </w:t>
            </w:r>
            <w:r w:rsidRPr="00E93C8D">
              <w:rPr>
                <w:i w:val="0"/>
                <w:sz w:val="20"/>
              </w:rPr>
              <w:t>dated</w:t>
            </w:r>
            <w:r w:rsidR="00D364F2" w:rsidRPr="00E93C8D">
              <w:rPr>
                <w:i w:val="0"/>
                <w:sz w:val="20"/>
                <w:lang w:val="ru-RU"/>
              </w:rPr>
              <w:t xml:space="preserve"> 21 </w:t>
            </w:r>
            <w:r w:rsidR="00D364F2" w:rsidRPr="00E93C8D">
              <w:rPr>
                <w:i w:val="0"/>
                <w:sz w:val="20"/>
              </w:rPr>
              <w:t>December</w:t>
            </w:r>
            <w:r w:rsidR="00D364F2" w:rsidRPr="00E93C8D">
              <w:rPr>
                <w:i w:val="0"/>
                <w:sz w:val="20"/>
                <w:lang w:val="ru-RU"/>
              </w:rPr>
              <w:t xml:space="preserve"> 2016</w:t>
            </w:r>
          </w:p>
          <w:p w:rsidR="008B7AE3" w:rsidRPr="00E93C8D" w:rsidRDefault="00D364F2" w:rsidP="003E124E">
            <w:pPr>
              <w:pStyle w:val="1"/>
              <w:keepNext w:val="0"/>
              <w:widowControl w:val="0"/>
              <w:numPr>
                <w:ilvl w:val="0"/>
                <w:numId w:val="0"/>
              </w:numPr>
              <w:spacing w:after="120"/>
              <w:ind w:left="180"/>
              <w:jc w:val="right"/>
              <w:outlineLvl w:val="0"/>
              <w:rPr>
                <w:b w:val="0"/>
                <w:i w:val="0"/>
                <w:sz w:val="20"/>
                <w:lang w:val="ru-RU"/>
              </w:rPr>
            </w:pPr>
            <w:r w:rsidRPr="00E93C8D">
              <w:rPr>
                <w:i w:val="0"/>
                <w:sz w:val="20"/>
                <w:lang w:val="ru-RU"/>
              </w:rPr>
              <w:t xml:space="preserve">Приложение № 1 к Соглашению № </w:t>
            </w:r>
            <w:r w:rsidR="009C39CB" w:rsidRPr="00E93C8D">
              <w:rPr>
                <w:i w:val="0"/>
                <w:sz w:val="20"/>
              </w:rPr>
              <w:t>Tax</w:t>
            </w:r>
            <w:r w:rsidRPr="00E93C8D">
              <w:rPr>
                <w:i w:val="0"/>
                <w:sz w:val="20"/>
                <w:lang w:val="ru-RU"/>
              </w:rPr>
              <w:t>/2016/43236</w:t>
            </w:r>
            <w:r w:rsidR="009C39CB" w:rsidRPr="00E93C8D">
              <w:rPr>
                <w:i w:val="0"/>
                <w:sz w:val="20"/>
                <w:lang w:val="ru-RU"/>
              </w:rPr>
              <w:t xml:space="preserve"> </w:t>
            </w:r>
            <w:r w:rsidRPr="00E93C8D">
              <w:rPr>
                <w:i w:val="0"/>
                <w:sz w:val="20"/>
                <w:lang w:val="ru-RU"/>
              </w:rPr>
              <w:t>от 21 декабря 2016 г.</w:t>
            </w:r>
          </w:p>
          <w:p w:rsidR="008B7AE3" w:rsidRPr="00E93C8D" w:rsidRDefault="008B7AE3" w:rsidP="003E124E">
            <w:pPr>
              <w:pStyle w:val="1"/>
              <w:keepNext w:val="0"/>
              <w:widowControl w:val="0"/>
              <w:numPr>
                <w:ilvl w:val="0"/>
                <w:numId w:val="0"/>
              </w:numPr>
              <w:outlineLvl w:val="0"/>
              <w:rPr>
                <w:sz w:val="20"/>
                <w:lang w:val="ru-RU"/>
              </w:rPr>
            </w:pPr>
          </w:p>
        </w:tc>
      </w:tr>
      <w:tr w:rsidR="00E93C8D" w:rsidRPr="00736676" w:rsidTr="009576BA">
        <w:trPr>
          <w:gridAfter w:val="1"/>
          <w:wAfter w:w="392" w:type="dxa"/>
          <w:cantSplit/>
        </w:trPr>
        <w:tc>
          <w:tcPr>
            <w:tcW w:w="4820" w:type="dxa"/>
            <w:gridSpan w:val="2"/>
          </w:tcPr>
          <w:p w:rsidR="003F478E" w:rsidRPr="00E93C8D" w:rsidRDefault="003F478E" w:rsidP="003E124E">
            <w:pPr>
              <w:pStyle w:val="a8"/>
              <w:widowControl w:val="0"/>
              <w:rPr>
                <w:b/>
                <w:bCs/>
                <w:sz w:val="20"/>
              </w:rPr>
            </w:pPr>
            <w:r w:rsidRPr="00E93C8D">
              <w:rPr>
                <w:b/>
                <w:sz w:val="20"/>
              </w:rPr>
              <w:t>STANDARD TAX TERMS FOR RUSSIA</w:t>
            </w:r>
          </w:p>
        </w:tc>
        <w:tc>
          <w:tcPr>
            <w:tcW w:w="4820" w:type="dxa"/>
            <w:gridSpan w:val="2"/>
          </w:tcPr>
          <w:p w:rsidR="003F478E" w:rsidRPr="00E93C8D" w:rsidRDefault="003F478E" w:rsidP="003E124E">
            <w:pPr>
              <w:pStyle w:val="1"/>
              <w:keepNext w:val="0"/>
              <w:widowControl w:val="0"/>
              <w:numPr>
                <w:ilvl w:val="0"/>
                <w:numId w:val="0"/>
              </w:numPr>
              <w:outlineLvl w:val="0"/>
              <w:rPr>
                <w:b w:val="0"/>
                <w:sz w:val="20"/>
                <w:lang w:val="ru-RU"/>
              </w:rPr>
            </w:pPr>
            <w:r w:rsidRPr="00E93C8D">
              <w:rPr>
                <w:sz w:val="20"/>
                <w:lang w:val="ru-RU"/>
              </w:rPr>
              <w:t>ОБЩИЕ УСЛОВИЯ ОКАЗАНИЯ УСЛУГ В РОССИЙСКОЙ ФЕДЕРАЦИИ</w:t>
            </w:r>
          </w:p>
          <w:p w:rsidR="003F478E" w:rsidRPr="00E93C8D" w:rsidRDefault="003F478E" w:rsidP="003E124E">
            <w:pPr>
              <w:pStyle w:val="1"/>
              <w:keepNext w:val="0"/>
              <w:widowControl w:val="0"/>
              <w:numPr>
                <w:ilvl w:val="0"/>
                <w:numId w:val="0"/>
              </w:numPr>
              <w:outlineLvl w:val="0"/>
              <w:rPr>
                <w:b w:val="0"/>
                <w:sz w:val="20"/>
                <w:lang w:val="ru-RU"/>
              </w:rPr>
            </w:pPr>
          </w:p>
        </w:tc>
      </w:tr>
      <w:tr w:rsidR="00E93C8D" w:rsidRPr="00E93C8D" w:rsidTr="009576BA">
        <w:trPr>
          <w:gridAfter w:val="1"/>
          <w:wAfter w:w="392" w:type="dxa"/>
          <w:cantSplit/>
        </w:trPr>
        <w:tc>
          <w:tcPr>
            <w:tcW w:w="4820" w:type="dxa"/>
            <w:gridSpan w:val="2"/>
          </w:tcPr>
          <w:p w:rsidR="003F478E" w:rsidRPr="00E93C8D" w:rsidRDefault="003F478E" w:rsidP="003E124E">
            <w:pPr>
              <w:pStyle w:val="1"/>
              <w:keepNext w:val="0"/>
              <w:widowControl w:val="0"/>
              <w:numPr>
                <w:ilvl w:val="0"/>
                <w:numId w:val="0"/>
              </w:numPr>
              <w:spacing w:after="120"/>
              <w:outlineLvl w:val="0"/>
              <w:rPr>
                <w:i w:val="0"/>
                <w:sz w:val="20"/>
              </w:rPr>
            </w:pPr>
            <w:r w:rsidRPr="00E93C8D">
              <w:rPr>
                <w:bCs/>
                <w:i w:val="0"/>
                <w:sz w:val="20"/>
                <w:lang w:val="ru-RU"/>
              </w:rPr>
              <w:t xml:space="preserve">1. </w:t>
            </w:r>
            <w:r w:rsidRPr="00E93C8D">
              <w:rPr>
                <w:bCs/>
                <w:i w:val="0"/>
                <w:sz w:val="20"/>
              </w:rPr>
              <w:t>Contract and Parties</w:t>
            </w:r>
            <w:r w:rsidRPr="00E93C8D">
              <w:rPr>
                <w:i w:val="0"/>
                <w:smallCaps/>
                <w:sz w:val="20"/>
              </w:rPr>
              <w:t xml:space="preserve">  </w:t>
            </w:r>
          </w:p>
        </w:tc>
        <w:tc>
          <w:tcPr>
            <w:tcW w:w="4820" w:type="dxa"/>
            <w:gridSpan w:val="2"/>
          </w:tcPr>
          <w:p w:rsidR="003F478E" w:rsidRPr="00E93C8D" w:rsidRDefault="003F478E" w:rsidP="003E124E">
            <w:pPr>
              <w:pStyle w:val="1"/>
              <w:keepNext w:val="0"/>
              <w:widowControl w:val="0"/>
              <w:numPr>
                <w:ilvl w:val="0"/>
                <w:numId w:val="0"/>
              </w:numPr>
              <w:spacing w:after="120"/>
              <w:outlineLvl w:val="0"/>
              <w:rPr>
                <w:b w:val="0"/>
                <w:bCs/>
                <w:i w:val="0"/>
                <w:sz w:val="20"/>
                <w:lang w:val="ru-RU"/>
              </w:rPr>
            </w:pPr>
            <w:r w:rsidRPr="00E93C8D">
              <w:rPr>
                <w:bCs/>
                <w:i w:val="0"/>
                <w:sz w:val="20"/>
                <w:lang w:val="ru-RU"/>
              </w:rPr>
              <w:t>1. Договор и Стороны Договора.</w:t>
            </w:r>
          </w:p>
        </w:tc>
      </w:tr>
      <w:tr w:rsidR="00E93C8D" w:rsidRPr="009576BA" w:rsidTr="009576BA">
        <w:trPr>
          <w:gridAfter w:val="1"/>
          <w:wAfter w:w="392" w:type="dxa"/>
          <w:cantSplit/>
        </w:trPr>
        <w:tc>
          <w:tcPr>
            <w:tcW w:w="4820" w:type="dxa"/>
            <w:gridSpan w:val="2"/>
          </w:tcPr>
          <w:p w:rsidR="003F478E" w:rsidRPr="00E93C8D" w:rsidRDefault="003F478E" w:rsidP="009A4285">
            <w:pPr>
              <w:pStyle w:val="1"/>
              <w:keepNext w:val="0"/>
              <w:widowControl w:val="0"/>
              <w:numPr>
                <w:ilvl w:val="0"/>
                <w:numId w:val="0"/>
              </w:numPr>
              <w:spacing w:after="120"/>
              <w:outlineLvl w:val="0"/>
              <w:rPr>
                <w:b w:val="0"/>
                <w:i w:val="0"/>
                <w:sz w:val="20"/>
              </w:rPr>
            </w:pPr>
            <w:r w:rsidRPr="00E93C8D">
              <w:rPr>
                <w:b w:val="0"/>
                <w:i w:val="0"/>
                <w:sz w:val="20"/>
              </w:rPr>
              <w:t>(a) The engagement letter and any appendices (“Engagement Letter”) issued by Deloitte and addressed to the Clien</w:t>
            </w:r>
            <w:r w:rsidR="00803318" w:rsidRPr="00E93C8D">
              <w:rPr>
                <w:b w:val="0"/>
                <w:i w:val="0"/>
                <w:sz w:val="20"/>
              </w:rPr>
              <w:t>t</w:t>
            </w:r>
            <w:r w:rsidR="009A4285" w:rsidRPr="00E93C8D">
              <w:rPr>
                <w:b w:val="0"/>
                <w:i w:val="0"/>
                <w:sz w:val="20"/>
              </w:rPr>
              <w:t>,</w:t>
            </w:r>
            <w:r w:rsidRPr="00E93C8D">
              <w:rPr>
                <w:b w:val="0"/>
                <w:i w:val="0"/>
                <w:sz w:val="20"/>
              </w:rPr>
              <w:t xml:space="preserve"> these Standard Tax Terms</w:t>
            </w:r>
            <w:r w:rsidR="00A84970" w:rsidRPr="00E93C8D">
              <w:rPr>
                <w:b w:val="0"/>
                <w:i w:val="0"/>
                <w:sz w:val="20"/>
              </w:rPr>
              <w:t>,</w:t>
            </w:r>
            <w:r w:rsidR="00A84970" w:rsidRPr="00E93C8D">
              <w:rPr>
                <w:sz w:val="20"/>
              </w:rPr>
              <w:t xml:space="preserve"> </w:t>
            </w:r>
            <w:r w:rsidR="00A84970" w:rsidRPr="00E93C8D">
              <w:rPr>
                <w:b w:val="0"/>
                <w:i w:val="0"/>
                <w:sz w:val="20"/>
              </w:rPr>
              <w:t>as well as each and every Addendum (as defined in the Engagement Letter) agreed by Deloitte and the Client in relation to any part of the Services</w:t>
            </w:r>
            <w:r w:rsidRPr="00E93C8D">
              <w:rPr>
                <w:b w:val="0"/>
                <w:i w:val="0"/>
                <w:sz w:val="20"/>
              </w:rPr>
              <w:t xml:space="preserve"> (</w:t>
            </w:r>
            <w:r w:rsidR="00A84970" w:rsidRPr="00E93C8D">
              <w:rPr>
                <w:b w:val="0"/>
                <w:i w:val="0"/>
                <w:sz w:val="20"/>
              </w:rPr>
              <w:t>together</w:t>
            </w:r>
            <w:r w:rsidRPr="00E93C8D">
              <w:rPr>
                <w:b w:val="0"/>
                <w:i w:val="0"/>
                <w:sz w:val="20"/>
              </w:rPr>
              <w:t xml:space="preserve"> the “Contract”) constitute the whole agreement between the Client and Deloitte in relation to the services and work product (including Advice as defined below) described in the </w:t>
            </w:r>
            <w:r w:rsidR="00A51B6A" w:rsidRPr="00E93C8D">
              <w:rPr>
                <w:b w:val="0"/>
                <w:i w:val="0"/>
                <w:sz w:val="20"/>
              </w:rPr>
              <w:t>Contract</w:t>
            </w:r>
            <w:r w:rsidRPr="00E93C8D">
              <w:rPr>
                <w:b w:val="0"/>
                <w:i w:val="0"/>
                <w:sz w:val="20"/>
              </w:rPr>
              <w:t xml:space="preserve"> (the “Services”). Capitalized terms not defined in these Standard Tax Terms shall have the meaning given to them in the Engagement Letter.</w:t>
            </w:r>
          </w:p>
        </w:tc>
        <w:tc>
          <w:tcPr>
            <w:tcW w:w="4820" w:type="dxa"/>
            <w:gridSpan w:val="2"/>
          </w:tcPr>
          <w:p w:rsidR="003F478E" w:rsidRPr="00E93C8D" w:rsidRDefault="003F478E" w:rsidP="009A4285">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a</w:t>
            </w:r>
            <w:r w:rsidRPr="00E93C8D">
              <w:rPr>
                <w:b w:val="0"/>
                <w:i w:val="0"/>
                <w:sz w:val="20"/>
                <w:lang w:val="ru-RU"/>
              </w:rPr>
              <w:t>) Соглашение и все приложения к нему, ("Соглашение"), подготовленные Делойт для Клиента, настоящие Общие условия оказания услуг</w:t>
            </w:r>
            <w:r w:rsidR="00A84970" w:rsidRPr="00E93C8D">
              <w:rPr>
                <w:b w:val="0"/>
                <w:i w:val="0"/>
                <w:sz w:val="20"/>
                <w:lang w:val="ru-RU"/>
              </w:rPr>
              <w:t>, а также любое из Дополнительных соглашений (как определено в Соглашении), заключенных между Делойт и Клиентом в отношении любой части Услуг</w:t>
            </w:r>
            <w:r w:rsidRPr="00E93C8D">
              <w:rPr>
                <w:b w:val="0"/>
                <w:i w:val="0"/>
                <w:sz w:val="20"/>
                <w:lang w:val="ru-RU"/>
              </w:rPr>
              <w:t xml:space="preserve"> (далее совместно – "Договор") представляют собой полное соглашение между Клиентом и Делойт в отношении услуг и рабочих продуктов (в том числе Рекомендаций, как указано ниже), указанных в </w:t>
            </w:r>
            <w:r w:rsidR="00A51B6A" w:rsidRPr="00E93C8D">
              <w:rPr>
                <w:b w:val="0"/>
                <w:i w:val="0"/>
                <w:sz w:val="20"/>
                <w:lang w:val="ru-RU"/>
              </w:rPr>
              <w:t xml:space="preserve">Договоре </w:t>
            </w:r>
            <w:r w:rsidRPr="00E93C8D">
              <w:rPr>
                <w:b w:val="0"/>
                <w:i w:val="0"/>
                <w:sz w:val="20"/>
                <w:lang w:val="ru-RU"/>
              </w:rPr>
              <w:t>("Услуги"). Определения, не установленные настоящими Общими условиями оказания услуг, имеют значения, установленные Соглашением.</w:t>
            </w:r>
          </w:p>
        </w:tc>
      </w:tr>
      <w:tr w:rsidR="00E93C8D" w:rsidRPr="009576BA" w:rsidTr="009576BA">
        <w:trPr>
          <w:gridAfter w:val="1"/>
          <w:wAfter w:w="392" w:type="dxa"/>
          <w:cantSplit/>
        </w:trPr>
        <w:tc>
          <w:tcPr>
            <w:tcW w:w="4820" w:type="dxa"/>
            <w:gridSpan w:val="2"/>
          </w:tcPr>
          <w:p w:rsidR="003F478E" w:rsidRPr="00E93C8D" w:rsidRDefault="003F478E" w:rsidP="003E124E">
            <w:pPr>
              <w:pStyle w:val="1"/>
              <w:keepNext w:val="0"/>
              <w:widowControl w:val="0"/>
              <w:numPr>
                <w:ilvl w:val="0"/>
                <w:numId w:val="0"/>
              </w:numPr>
              <w:spacing w:after="120"/>
              <w:outlineLvl w:val="0"/>
              <w:rPr>
                <w:b w:val="0"/>
                <w:i w:val="0"/>
                <w:sz w:val="20"/>
              </w:rPr>
            </w:pPr>
            <w:r w:rsidRPr="00E93C8D">
              <w:rPr>
                <w:b w:val="0"/>
                <w:i w:val="0"/>
                <w:sz w:val="20"/>
              </w:rPr>
              <w:t xml:space="preserve">(b) This Contract is between the Client and Deloitte. For the purposes of this Contract: </w:t>
            </w:r>
          </w:p>
        </w:tc>
        <w:tc>
          <w:tcPr>
            <w:tcW w:w="4820" w:type="dxa"/>
            <w:gridSpan w:val="2"/>
          </w:tcPr>
          <w:p w:rsidR="003F478E" w:rsidRPr="00E93C8D" w:rsidRDefault="003F478E"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00F54DFF" w:rsidRPr="00E93C8D">
              <w:rPr>
                <w:b w:val="0"/>
                <w:i w:val="0"/>
                <w:sz w:val="20"/>
              </w:rPr>
              <w:t>b</w:t>
            </w:r>
            <w:r w:rsidRPr="00E93C8D">
              <w:rPr>
                <w:b w:val="0"/>
                <w:i w:val="0"/>
                <w:sz w:val="20"/>
                <w:lang w:val="ru-RU"/>
              </w:rPr>
              <w:t>) Настоящий Договор заключается между Клиентом и Делойт:</w:t>
            </w:r>
          </w:p>
        </w:tc>
      </w:tr>
      <w:tr w:rsidR="00E93C8D" w:rsidRPr="009576BA" w:rsidTr="009576BA">
        <w:trPr>
          <w:gridAfter w:val="1"/>
          <w:wAfter w:w="392" w:type="dxa"/>
          <w:cantSplit/>
        </w:trPr>
        <w:tc>
          <w:tcPr>
            <w:tcW w:w="4820" w:type="dxa"/>
            <w:gridSpan w:val="2"/>
          </w:tcPr>
          <w:p w:rsidR="00A94E1F" w:rsidRPr="00E93C8D" w:rsidRDefault="00A94E1F" w:rsidP="00A94E1F">
            <w:pPr>
              <w:pStyle w:val="1"/>
              <w:keepNext w:val="0"/>
              <w:widowControl w:val="0"/>
              <w:numPr>
                <w:ilvl w:val="0"/>
                <w:numId w:val="0"/>
              </w:numPr>
              <w:spacing w:after="120"/>
              <w:outlineLvl w:val="0"/>
              <w:rPr>
                <w:b w:val="0"/>
                <w:i w:val="0"/>
                <w:sz w:val="20"/>
              </w:rPr>
            </w:pPr>
            <w:r w:rsidRPr="00E93C8D">
              <w:rPr>
                <w:b w:val="0"/>
                <w:i w:val="0"/>
                <w:sz w:val="20"/>
              </w:rPr>
              <w:t>“Advice” shall mean all advice, opinions, reports and other work product in any form (including Deliverables) provided by or on behalf of Deloitte and/or its Subcontractors as part of the Services.</w:t>
            </w:r>
          </w:p>
        </w:tc>
        <w:tc>
          <w:tcPr>
            <w:tcW w:w="4820" w:type="dxa"/>
            <w:gridSpan w:val="2"/>
          </w:tcPr>
          <w:p w:rsidR="00A94E1F" w:rsidRPr="00E93C8D" w:rsidRDefault="00A94E1F" w:rsidP="0047665B">
            <w:pPr>
              <w:pStyle w:val="1"/>
              <w:keepNext w:val="0"/>
              <w:widowControl w:val="0"/>
              <w:numPr>
                <w:ilvl w:val="0"/>
                <w:numId w:val="0"/>
              </w:numPr>
              <w:spacing w:after="120"/>
              <w:outlineLvl w:val="0"/>
              <w:rPr>
                <w:b w:val="0"/>
                <w:i w:val="0"/>
                <w:sz w:val="20"/>
                <w:lang w:val="ru-RU"/>
              </w:rPr>
            </w:pPr>
            <w:r w:rsidRPr="00E93C8D">
              <w:rPr>
                <w:b w:val="0"/>
                <w:i w:val="0"/>
                <w:sz w:val="20"/>
                <w:lang w:val="ru-RU"/>
              </w:rPr>
              <w:t>Под «Рекомендациями» понимаются любые рекомендации, мнения, отчеты и иные рабочие продукты в любой форме (включая Результаты) предоставленные Делойт и/или Субподрядчиками или от имени Делойт и/или Субподрядчиков.</w:t>
            </w:r>
          </w:p>
        </w:tc>
      </w:tr>
      <w:tr w:rsidR="00E93C8D" w:rsidRPr="00E93C8D" w:rsidTr="009576BA">
        <w:trPr>
          <w:gridAfter w:val="1"/>
          <w:wAfter w:w="392" w:type="dxa"/>
          <w:cantSplit/>
        </w:trPr>
        <w:tc>
          <w:tcPr>
            <w:tcW w:w="4820" w:type="dxa"/>
            <w:gridSpan w:val="2"/>
          </w:tcPr>
          <w:p w:rsidR="0047665B" w:rsidRPr="00E93C8D" w:rsidRDefault="0047665B" w:rsidP="003754FB">
            <w:pPr>
              <w:pStyle w:val="1"/>
              <w:keepNext w:val="0"/>
              <w:widowControl w:val="0"/>
              <w:numPr>
                <w:ilvl w:val="0"/>
                <w:numId w:val="0"/>
              </w:numPr>
              <w:spacing w:after="120"/>
              <w:outlineLvl w:val="0"/>
              <w:rPr>
                <w:b w:val="0"/>
                <w:i w:val="0"/>
                <w:sz w:val="20"/>
              </w:rPr>
            </w:pPr>
            <w:r w:rsidRPr="00E93C8D">
              <w:rPr>
                <w:b w:val="0"/>
                <w:i w:val="0"/>
                <w:sz w:val="20"/>
              </w:rPr>
              <w:t xml:space="preserve">“Affiliates” </w:t>
            </w:r>
            <w:r w:rsidR="003754FB" w:rsidRPr="00E93C8D">
              <w:rPr>
                <w:b w:val="0"/>
                <w:i w:val="0"/>
                <w:sz w:val="20"/>
              </w:rPr>
              <w:t>shall mean</w:t>
            </w:r>
            <w:r w:rsidRPr="00E93C8D">
              <w:rPr>
                <w:b w:val="0"/>
                <w:i w:val="0"/>
                <w:sz w:val="20"/>
              </w:rPr>
              <w:t xml:space="preserve"> in relation to the Client any company, partnership or other legal entity (other than a natural person) which from time to time directly or indirectly Controls, is Controlled by or is under common Control with, the Client, including a subsidiary or holding company of the Client.</w:t>
            </w:r>
          </w:p>
        </w:tc>
        <w:tc>
          <w:tcPr>
            <w:tcW w:w="4820" w:type="dxa"/>
            <w:gridSpan w:val="2"/>
          </w:tcPr>
          <w:p w:rsidR="0047665B" w:rsidRPr="00E93C8D" w:rsidRDefault="0047665B" w:rsidP="00E3372E">
            <w:pPr>
              <w:pStyle w:val="1"/>
              <w:keepNext w:val="0"/>
              <w:widowControl w:val="0"/>
              <w:numPr>
                <w:ilvl w:val="0"/>
                <w:numId w:val="0"/>
              </w:numPr>
              <w:spacing w:after="120"/>
              <w:outlineLvl w:val="0"/>
              <w:rPr>
                <w:b w:val="0"/>
                <w:i w:val="0"/>
                <w:sz w:val="20"/>
                <w:lang w:val="ru-RU"/>
              </w:rPr>
            </w:pPr>
            <w:r w:rsidRPr="00E93C8D">
              <w:rPr>
                <w:b w:val="0"/>
                <w:i w:val="0"/>
                <w:sz w:val="20"/>
                <w:lang w:val="ru-RU"/>
              </w:rPr>
              <w:t>Под «Аффилированными лицами»</w:t>
            </w:r>
            <w:r w:rsidR="00F05E31" w:rsidRPr="00E93C8D">
              <w:rPr>
                <w:b w:val="0"/>
                <w:i w:val="0"/>
                <w:sz w:val="20"/>
                <w:lang w:val="ru-RU"/>
              </w:rPr>
              <w:t xml:space="preserve"> в отношении Клиента</w:t>
            </w:r>
            <w:r w:rsidRPr="00E93C8D">
              <w:rPr>
                <w:b w:val="0"/>
                <w:i w:val="0"/>
                <w:sz w:val="20"/>
                <w:lang w:val="ru-RU"/>
              </w:rPr>
              <w:t xml:space="preserve"> понимаются любые юридические лица, товарищества или иные подобные лица (за исключением физических лиц), которые в тот или иной момент времени прямо или косвенно Контролируют Клиента, находятся под Контролем Клиента, либо находятся под общим Контролем </w:t>
            </w:r>
            <w:r w:rsidR="00E3372E" w:rsidRPr="00E93C8D">
              <w:rPr>
                <w:b w:val="0"/>
                <w:i w:val="0"/>
                <w:sz w:val="20"/>
                <w:lang w:val="ru-RU"/>
              </w:rPr>
              <w:t>с Клиентом, включая дочернее хозяйственное общество или холдинговую компанию Клиента.</w:t>
            </w:r>
          </w:p>
        </w:tc>
      </w:tr>
      <w:tr w:rsidR="00E93C8D" w:rsidRPr="009576BA" w:rsidTr="009576BA">
        <w:trPr>
          <w:gridAfter w:val="1"/>
          <w:wAfter w:w="392" w:type="dxa"/>
          <w:cantSplit/>
        </w:trPr>
        <w:tc>
          <w:tcPr>
            <w:tcW w:w="4820" w:type="dxa"/>
            <w:gridSpan w:val="2"/>
          </w:tcPr>
          <w:p w:rsidR="00A94E1F" w:rsidRPr="00E93C8D" w:rsidRDefault="00A94E1F" w:rsidP="003754FB">
            <w:pPr>
              <w:pStyle w:val="1"/>
              <w:keepNext w:val="0"/>
              <w:widowControl w:val="0"/>
              <w:numPr>
                <w:ilvl w:val="0"/>
                <w:numId w:val="0"/>
              </w:numPr>
              <w:spacing w:after="120"/>
              <w:outlineLvl w:val="0"/>
              <w:rPr>
                <w:b w:val="0"/>
                <w:i w:val="0"/>
                <w:sz w:val="20"/>
              </w:rPr>
            </w:pPr>
            <w:r w:rsidRPr="00E93C8D">
              <w:rPr>
                <w:b w:val="0"/>
                <w:i w:val="0"/>
                <w:sz w:val="20"/>
              </w:rPr>
              <w:t>“Client” shall mean the entity specified in the Engagement Letter</w:t>
            </w:r>
            <w:r w:rsidR="003754FB" w:rsidRPr="00E93C8D">
              <w:rPr>
                <w:b w:val="0"/>
                <w:i w:val="0"/>
                <w:sz w:val="20"/>
              </w:rPr>
              <w:t>.</w:t>
            </w:r>
            <w:r w:rsidRPr="00E93C8D">
              <w:rPr>
                <w:b w:val="0"/>
                <w:i w:val="0"/>
                <w:sz w:val="20"/>
              </w:rPr>
              <w:t xml:space="preserve"> The Client represents and warrants that it has the power and authority to (i) sign the Contract, and (ii) to bind itself. </w:t>
            </w:r>
          </w:p>
        </w:tc>
        <w:tc>
          <w:tcPr>
            <w:tcW w:w="4820" w:type="dxa"/>
            <w:gridSpan w:val="2"/>
          </w:tcPr>
          <w:p w:rsidR="00A94E1F" w:rsidRPr="00E93C8D" w:rsidRDefault="00A94E1F" w:rsidP="003754FB">
            <w:pPr>
              <w:pStyle w:val="1"/>
              <w:keepNext w:val="0"/>
              <w:widowControl w:val="0"/>
              <w:numPr>
                <w:ilvl w:val="0"/>
                <w:numId w:val="0"/>
              </w:numPr>
              <w:spacing w:after="120"/>
              <w:outlineLvl w:val="0"/>
              <w:rPr>
                <w:b w:val="0"/>
                <w:i w:val="0"/>
                <w:sz w:val="20"/>
                <w:lang w:val="ru-RU"/>
              </w:rPr>
            </w:pPr>
            <w:r w:rsidRPr="00E93C8D">
              <w:rPr>
                <w:b w:val="0"/>
                <w:i w:val="0"/>
                <w:sz w:val="20"/>
                <w:lang w:val="ru-RU"/>
              </w:rPr>
              <w:t>Под «Клиентом» понимается лицо, указанное в Соглашении</w:t>
            </w:r>
            <w:r w:rsidR="003754FB" w:rsidRPr="00E93C8D">
              <w:rPr>
                <w:b w:val="0"/>
                <w:i w:val="0"/>
                <w:sz w:val="20"/>
                <w:lang w:val="ru-RU"/>
              </w:rPr>
              <w:t>.</w:t>
            </w:r>
            <w:r w:rsidRPr="00E93C8D">
              <w:rPr>
                <w:b w:val="0"/>
                <w:i w:val="0"/>
                <w:sz w:val="20"/>
                <w:lang w:val="ru-RU"/>
              </w:rPr>
              <w:t xml:space="preserve"> Клиент заверяет, что имеет полномочия (</w:t>
            </w:r>
            <w:r w:rsidRPr="00E93C8D">
              <w:rPr>
                <w:b w:val="0"/>
                <w:i w:val="0"/>
                <w:sz w:val="20"/>
              </w:rPr>
              <w:t>i</w:t>
            </w:r>
            <w:r w:rsidRPr="00E93C8D">
              <w:rPr>
                <w:b w:val="0"/>
                <w:i w:val="0"/>
                <w:sz w:val="20"/>
                <w:lang w:val="ru-RU"/>
              </w:rPr>
              <w:t xml:space="preserve">) </w:t>
            </w:r>
            <w:r w:rsidR="003754FB" w:rsidRPr="00E93C8D">
              <w:rPr>
                <w:b w:val="0"/>
                <w:i w:val="0"/>
                <w:sz w:val="20"/>
                <w:lang w:val="ru-RU"/>
              </w:rPr>
              <w:t>заключить</w:t>
            </w:r>
            <w:r w:rsidRPr="00E93C8D">
              <w:rPr>
                <w:b w:val="0"/>
                <w:i w:val="0"/>
                <w:sz w:val="20"/>
                <w:lang w:val="ru-RU"/>
              </w:rPr>
              <w:t xml:space="preserve"> Договор; (</w:t>
            </w:r>
            <w:r w:rsidRPr="00E93C8D">
              <w:rPr>
                <w:b w:val="0"/>
                <w:i w:val="0"/>
                <w:sz w:val="20"/>
              </w:rPr>
              <w:t>ii</w:t>
            </w:r>
            <w:r w:rsidRPr="00E93C8D">
              <w:rPr>
                <w:b w:val="0"/>
                <w:i w:val="0"/>
                <w:sz w:val="20"/>
                <w:lang w:val="ru-RU"/>
              </w:rPr>
              <w:t xml:space="preserve">) </w:t>
            </w:r>
            <w:r w:rsidR="003754FB" w:rsidRPr="00E93C8D">
              <w:rPr>
                <w:b w:val="0"/>
                <w:i w:val="0"/>
                <w:sz w:val="20"/>
                <w:lang w:val="ru-RU"/>
              </w:rPr>
              <w:t>налагать на себя обязательства</w:t>
            </w:r>
            <w:r w:rsidRPr="00E93C8D">
              <w:rPr>
                <w:b w:val="0"/>
                <w:i w:val="0"/>
                <w:sz w:val="20"/>
                <w:lang w:val="ru-RU"/>
              </w:rPr>
              <w:t>.</w:t>
            </w:r>
          </w:p>
        </w:tc>
      </w:tr>
      <w:tr w:rsidR="00E93C8D" w:rsidRPr="009576BA" w:rsidTr="009576BA">
        <w:trPr>
          <w:gridAfter w:val="1"/>
          <w:wAfter w:w="392" w:type="dxa"/>
          <w:cantSplit/>
        </w:trPr>
        <w:tc>
          <w:tcPr>
            <w:tcW w:w="4820" w:type="dxa"/>
            <w:gridSpan w:val="2"/>
          </w:tcPr>
          <w:p w:rsidR="00A94E1F" w:rsidRPr="00E93C8D" w:rsidRDefault="00D415C0" w:rsidP="00F05E31">
            <w:pPr>
              <w:pStyle w:val="1"/>
              <w:keepNext w:val="0"/>
              <w:widowControl w:val="0"/>
              <w:numPr>
                <w:ilvl w:val="0"/>
                <w:numId w:val="0"/>
              </w:numPr>
              <w:spacing w:after="120"/>
              <w:outlineLvl w:val="0"/>
              <w:rPr>
                <w:b w:val="0"/>
                <w:i w:val="0"/>
                <w:sz w:val="20"/>
              </w:rPr>
            </w:pPr>
            <w:r w:rsidRPr="00E93C8D">
              <w:rPr>
                <w:b w:val="0"/>
                <w:i w:val="0"/>
                <w:sz w:val="20"/>
              </w:rPr>
              <w:t>“Client Group” shall mean the Client’s Affiliates.</w:t>
            </w:r>
          </w:p>
        </w:tc>
        <w:tc>
          <w:tcPr>
            <w:tcW w:w="4820" w:type="dxa"/>
            <w:gridSpan w:val="2"/>
          </w:tcPr>
          <w:p w:rsidR="00A94E1F" w:rsidRPr="00E93C8D" w:rsidRDefault="00F05E31" w:rsidP="00F05E31">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Под «Группой Клиента» понимаются </w:t>
            </w:r>
            <w:r w:rsidR="00A8145E" w:rsidRPr="00E93C8D">
              <w:rPr>
                <w:b w:val="0"/>
                <w:i w:val="0"/>
                <w:sz w:val="20"/>
                <w:lang w:val="ru-RU"/>
              </w:rPr>
              <w:t>Аффилированные</w:t>
            </w:r>
            <w:r w:rsidRPr="00E93C8D">
              <w:rPr>
                <w:b w:val="0"/>
                <w:i w:val="0"/>
                <w:sz w:val="20"/>
                <w:lang w:val="ru-RU"/>
              </w:rPr>
              <w:t xml:space="preserve"> лица Клиента.</w:t>
            </w:r>
          </w:p>
        </w:tc>
      </w:tr>
      <w:tr w:rsidR="00E93C8D" w:rsidRPr="00E93C8D" w:rsidTr="009576BA">
        <w:trPr>
          <w:gridAfter w:val="1"/>
          <w:wAfter w:w="392" w:type="dxa"/>
          <w:cantSplit/>
        </w:trPr>
        <w:tc>
          <w:tcPr>
            <w:tcW w:w="4820" w:type="dxa"/>
            <w:gridSpan w:val="2"/>
          </w:tcPr>
          <w:p w:rsidR="000D198D" w:rsidRPr="00E93C8D" w:rsidRDefault="000D198D" w:rsidP="000D198D">
            <w:pPr>
              <w:pStyle w:val="1"/>
              <w:keepNext w:val="0"/>
              <w:widowControl w:val="0"/>
              <w:numPr>
                <w:ilvl w:val="0"/>
                <w:numId w:val="0"/>
              </w:numPr>
              <w:spacing w:after="120"/>
              <w:outlineLvl w:val="0"/>
              <w:rPr>
                <w:b w:val="0"/>
                <w:i w:val="0"/>
                <w:sz w:val="20"/>
              </w:rPr>
            </w:pPr>
            <w:r w:rsidRPr="00E93C8D">
              <w:rPr>
                <w:b w:val="0"/>
                <w:i w:val="0"/>
                <w:sz w:val="20"/>
              </w:rPr>
              <w:t>“Control” shall mean the beneficial ownership by any person (other than a natural person) of more than 50% of the issued voting share capital, or the legal power to direct or cause the direction of the general management, of the company, partnership or other legal entity, and cognate expressions shall be construed accordingly.</w:t>
            </w:r>
          </w:p>
        </w:tc>
        <w:tc>
          <w:tcPr>
            <w:tcW w:w="4820" w:type="dxa"/>
            <w:gridSpan w:val="2"/>
          </w:tcPr>
          <w:p w:rsidR="000D198D" w:rsidRPr="00E93C8D" w:rsidRDefault="00EB19D5" w:rsidP="00770D74">
            <w:pPr>
              <w:pStyle w:val="1"/>
              <w:keepNext w:val="0"/>
              <w:widowControl w:val="0"/>
              <w:numPr>
                <w:ilvl w:val="0"/>
                <w:numId w:val="0"/>
              </w:numPr>
              <w:spacing w:after="120"/>
              <w:outlineLvl w:val="0"/>
              <w:rPr>
                <w:b w:val="0"/>
                <w:i w:val="0"/>
                <w:sz w:val="20"/>
                <w:lang w:val="ru-RU"/>
              </w:rPr>
            </w:pPr>
            <w:r w:rsidRPr="00E93C8D">
              <w:rPr>
                <w:b w:val="0"/>
                <w:i w:val="0"/>
                <w:sz w:val="20"/>
                <w:lang w:val="ru-RU"/>
              </w:rPr>
              <w:t>Под</w:t>
            </w:r>
            <w:r w:rsidR="00770D74" w:rsidRPr="00E93C8D">
              <w:rPr>
                <w:b w:val="0"/>
                <w:i w:val="0"/>
                <w:sz w:val="20"/>
                <w:lang w:val="ru-RU"/>
              </w:rPr>
              <w:t xml:space="preserve"> термином</w:t>
            </w:r>
            <w:r w:rsidRPr="00E93C8D">
              <w:rPr>
                <w:b w:val="0"/>
                <w:i w:val="0"/>
                <w:sz w:val="20"/>
                <w:lang w:val="ru-RU"/>
              </w:rPr>
              <w:t xml:space="preserve"> «Контрол</w:t>
            </w:r>
            <w:r w:rsidR="00770D74" w:rsidRPr="00E93C8D">
              <w:rPr>
                <w:b w:val="0"/>
                <w:i w:val="0"/>
                <w:sz w:val="20"/>
                <w:lang w:val="ru-RU"/>
              </w:rPr>
              <w:t>ь</w:t>
            </w:r>
            <w:r w:rsidRPr="00E93C8D">
              <w:rPr>
                <w:b w:val="0"/>
                <w:i w:val="0"/>
                <w:sz w:val="20"/>
                <w:lang w:val="ru-RU"/>
              </w:rPr>
              <w:t>» понимается право собственности любого лица (за исключением физического лица) на более чем 50% выпущенных голосующих акций</w:t>
            </w:r>
            <w:r w:rsidR="00A6708D" w:rsidRPr="00E93C8D">
              <w:rPr>
                <w:b w:val="0"/>
                <w:i w:val="0"/>
                <w:sz w:val="20"/>
                <w:lang w:val="ru-RU"/>
              </w:rPr>
              <w:t xml:space="preserve"> (или долей)</w:t>
            </w:r>
            <w:r w:rsidRPr="00E93C8D">
              <w:rPr>
                <w:b w:val="0"/>
                <w:i w:val="0"/>
                <w:sz w:val="20"/>
                <w:lang w:val="ru-RU"/>
              </w:rPr>
              <w:t xml:space="preserve">, или полномочие в силу закона давать обязательные </w:t>
            </w:r>
            <w:r w:rsidR="00770D74" w:rsidRPr="00E93C8D">
              <w:rPr>
                <w:b w:val="0"/>
                <w:i w:val="0"/>
                <w:sz w:val="20"/>
                <w:lang w:val="ru-RU"/>
              </w:rPr>
              <w:t>указания в отношении, либо являться причиной принятия управленческих решений, в отношении любого юридического лица, товарищества или иного подобного лица. Схожие термины должны трактоваться соответствующим образом.</w:t>
            </w:r>
          </w:p>
        </w:tc>
      </w:tr>
      <w:tr w:rsidR="00E93C8D" w:rsidRPr="009576BA" w:rsidTr="009576BA">
        <w:trPr>
          <w:gridAfter w:val="1"/>
          <w:wAfter w:w="392" w:type="dxa"/>
        </w:trPr>
        <w:tc>
          <w:tcPr>
            <w:tcW w:w="4820" w:type="dxa"/>
            <w:gridSpan w:val="2"/>
          </w:tcPr>
          <w:p w:rsidR="00A94E1F" w:rsidRPr="00E93C8D" w:rsidRDefault="00A94E1F" w:rsidP="00A94E1F">
            <w:pPr>
              <w:pStyle w:val="1"/>
              <w:keepNext w:val="0"/>
              <w:widowControl w:val="0"/>
              <w:numPr>
                <w:ilvl w:val="0"/>
                <w:numId w:val="0"/>
              </w:numPr>
              <w:spacing w:after="120"/>
              <w:outlineLvl w:val="0"/>
              <w:rPr>
                <w:b w:val="0"/>
                <w:i w:val="0"/>
                <w:sz w:val="20"/>
              </w:rPr>
            </w:pPr>
            <w:r w:rsidRPr="00E93C8D">
              <w:rPr>
                <w:b w:val="0"/>
                <w:i w:val="0"/>
                <w:sz w:val="20"/>
              </w:rPr>
              <w:t>“Deliverables” means any and all tangible work outputs of the Services to be delivered by Deloitte as part of the Services, including written returns, reports, documents and other materials.</w:t>
            </w:r>
          </w:p>
        </w:tc>
        <w:tc>
          <w:tcPr>
            <w:tcW w:w="4820" w:type="dxa"/>
            <w:gridSpan w:val="2"/>
          </w:tcPr>
          <w:p w:rsidR="00A94E1F" w:rsidRPr="00E93C8D" w:rsidRDefault="00A94E1F" w:rsidP="00A94E1F">
            <w:pPr>
              <w:pStyle w:val="1"/>
              <w:keepNext w:val="0"/>
              <w:widowControl w:val="0"/>
              <w:numPr>
                <w:ilvl w:val="0"/>
                <w:numId w:val="0"/>
              </w:numPr>
              <w:spacing w:after="120"/>
              <w:outlineLvl w:val="0"/>
              <w:rPr>
                <w:b w:val="0"/>
                <w:i w:val="0"/>
                <w:sz w:val="20"/>
                <w:lang w:val="ru-RU"/>
              </w:rPr>
            </w:pPr>
            <w:r w:rsidRPr="00E93C8D">
              <w:rPr>
                <w:b w:val="0"/>
                <w:i w:val="0"/>
                <w:sz w:val="20"/>
                <w:lang w:val="ru-RU"/>
              </w:rPr>
              <w:t>Под «Результатами» понимаются любые рабочие продукты Услуги в материальной форме, предоставляемые Делойт</w:t>
            </w:r>
            <w:r w:rsidR="0036345C" w:rsidRPr="00E93C8D">
              <w:rPr>
                <w:b w:val="0"/>
                <w:i w:val="0"/>
                <w:sz w:val="20"/>
                <w:lang w:val="ru-RU"/>
              </w:rPr>
              <w:t xml:space="preserve"> как часть Услуг</w:t>
            </w:r>
            <w:r w:rsidRPr="00E93C8D">
              <w:rPr>
                <w:b w:val="0"/>
                <w:i w:val="0"/>
                <w:sz w:val="20"/>
                <w:lang w:val="ru-RU"/>
              </w:rPr>
              <w:t>, включая отчеты, заключения, документы и другие материалы.</w:t>
            </w:r>
          </w:p>
        </w:tc>
      </w:tr>
      <w:tr w:rsidR="00E93C8D" w:rsidRPr="009576BA" w:rsidTr="009576BA">
        <w:trPr>
          <w:gridAfter w:val="1"/>
          <w:wAfter w:w="392" w:type="dxa"/>
        </w:trPr>
        <w:tc>
          <w:tcPr>
            <w:tcW w:w="4820" w:type="dxa"/>
            <w:gridSpan w:val="2"/>
          </w:tcPr>
          <w:p w:rsidR="00A42FC8" w:rsidRPr="00E93C8D" w:rsidRDefault="00A42FC8" w:rsidP="003E124E">
            <w:pPr>
              <w:widowControl w:val="0"/>
              <w:spacing w:after="120"/>
              <w:rPr>
                <w:sz w:val="20"/>
              </w:rPr>
            </w:pPr>
            <w:r w:rsidRPr="00E93C8D">
              <w:rPr>
                <w:sz w:val="20"/>
              </w:rPr>
              <w:t>(c) Deloitte may subcontract any Services under this Contract to any other Deloitte</w:t>
            </w:r>
            <w:r w:rsidR="00C57ABF" w:rsidRPr="00E93C8D">
              <w:rPr>
                <w:sz w:val="20"/>
              </w:rPr>
              <w:t xml:space="preserve"> Entity</w:t>
            </w:r>
            <w:r w:rsidRPr="00E93C8D">
              <w:rPr>
                <w:sz w:val="20"/>
              </w:rPr>
              <w:t xml:space="preserve"> and/or, with the </w:t>
            </w:r>
            <w:r w:rsidRPr="00E93C8D">
              <w:rPr>
                <w:sz w:val="20"/>
              </w:rPr>
              <w:lastRenderedPageBreak/>
              <w:t>consent of the Client, to any other third party (collectively “Sub</w:t>
            </w:r>
            <w:r w:rsidR="00295CB4" w:rsidRPr="00E93C8D">
              <w:rPr>
                <w:sz w:val="20"/>
                <w:lang w:val="ru-RU"/>
              </w:rPr>
              <w:t>с</w:t>
            </w:r>
            <w:r w:rsidR="00295CB4" w:rsidRPr="00E93C8D">
              <w:rPr>
                <w:sz w:val="20"/>
              </w:rPr>
              <w:t>ontractor</w:t>
            </w:r>
            <w:r w:rsidRPr="00E93C8D">
              <w:rPr>
                <w:sz w:val="20"/>
              </w:rPr>
              <w:t xml:space="preserve">”). </w:t>
            </w:r>
          </w:p>
          <w:p w:rsidR="00A42FC8" w:rsidRPr="00E93C8D" w:rsidRDefault="00A42FC8" w:rsidP="00826413">
            <w:pPr>
              <w:widowControl w:val="0"/>
              <w:spacing w:after="120"/>
              <w:rPr>
                <w:sz w:val="20"/>
              </w:rPr>
            </w:pPr>
            <w:r w:rsidRPr="00E93C8D">
              <w:rPr>
                <w:sz w:val="20"/>
              </w:rPr>
              <w:t xml:space="preserve">While performing the Services personnel of Deloitte’s </w:t>
            </w:r>
            <w:r w:rsidR="00740E83" w:rsidRPr="00E93C8D">
              <w:rPr>
                <w:sz w:val="20"/>
              </w:rPr>
              <w:t>subcontractor</w:t>
            </w:r>
            <w:r w:rsidRPr="00E93C8D">
              <w:rPr>
                <w:sz w:val="20"/>
              </w:rPr>
              <w:t xml:space="preserve"> - Company limited by shares Deloitte &amp; Touche Regional Consulting Services Limited, Representative Office in Moscow (“RCSL”), shall have the right to interact with the Client directly, including requesting of necessary documents and information, corresponding with the Client, etc. The provisions of clauses 2(a), 15, 19 of the Standard Tax Terms, shall apply also to RCSL. RCSL shall have the right to provide the Client with the Deliverables directly.</w:t>
            </w:r>
          </w:p>
          <w:p w:rsidR="00A42FC8" w:rsidRPr="00E93C8D" w:rsidRDefault="00A42FC8" w:rsidP="00D106A9">
            <w:pPr>
              <w:widowControl w:val="0"/>
              <w:spacing w:after="120"/>
              <w:rPr>
                <w:sz w:val="20"/>
              </w:rPr>
            </w:pPr>
            <w:r w:rsidRPr="00E93C8D">
              <w:rPr>
                <w:sz w:val="20"/>
              </w:rPr>
              <w:t xml:space="preserve">Client’s relationship is solely with Deloitte as the entity contracting to provide the Services. Each party is an independent </w:t>
            </w:r>
            <w:r w:rsidR="00D106A9" w:rsidRPr="00E93C8D">
              <w:rPr>
                <w:sz w:val="20"/>
              </w:rPr>
              <w:t>contractor</w:t>
            </w:r>
            <w:r w:rsidRPr="00E93C8D">
              <w:rPr>
                <w:sz w:val="20"/>
              </w:rPr>
              <w:t xml:space="preserve"> and neither party is, nor shall considered to be, the other’s agent, distributor, partner, fiduciary, joint venturer, co-owner, or representative.</w:t>
            </w:r>
          </w:p>
        </w:tc>
        <w:tc>
          <w:tcPr>
            <w:tcW w:w="4820" w:type="dxa"/>
            <w:gridSpan w:val="2"/>
          </w:tcPr>
          <w:p w:rsidR="00A42FC8" w:rsidRPr="00E93C8D" w:rsidRDefault="00A42FC8" w:rsidP="003E124E">
            <w:pPr>
              <w:widowControl w:val="0"/>
              <w:spacing w:after="120"/>
              <w:rPr>
                <w:sz w:val="20"/>
                <w:lang w:val="ru-RU"/>
              </w:rPr>
            </w:pPr>
            <w:r w:rsidRPr="00E93C8D">
              <w:rPr>
                <w:sz w:val="20"/>
                <w:lang w:val="ru-RU"/>
              </w:rPr>
              <w:lastRenderedPageBreak/>
              <w:t>(</w:t>
            </w:r>
            <w:r w:rsidRPr="00E93C8D">
              <w:rPr>
                <w:sz w:val="20"/>
              </w:rPr>
              <w:t>c</w:t>
            </w:r>
            <w:r w:rsidRPr="00E93C8D">
              <w:rPr>
                <w:sz w:val="20"/>
                <w:lang w:val="ru-RU"/>
              </w:rPr>
              <w:t>) Делойт вправе передать исполнение Услуг по Договору на условиях субподряда любо</w:t>
            </w:r>
            <w:r w:rsidR="00C57ABF" w:rsidRPr="00E93C8D">
              <w:rPr>
                <w:sz w:val="20"/>
                <w:lang w:val="ru-RU"/>
              </w:rPr>
              <w:t>й</w:t>
            </w:r>
            <w:r w:rsidRPr="00E93C8D">
              <w:rPr>
                <w:sz w:val="20"/>
                <w:lang w:val="ru-RU"/>
              </w:rPr>
              <w:t xml:space="preserve"> </w:t>
            </w:r>
            <w:r w:rsidR="00C57ABF" w:rsidRPr="00E93C8D">
              <w:rPr>
                <w:sz w:val="20"/>
                <w:lang w:val="ru-RU"/>
              </w:rPr>
              <w:t>Компании</w:t>
            </w:r>
            <w:r w:rsidRPr="00E93C8D">
              <w:rPr>
                <w:sz w:val="20"/>
                <w:lang w:val="ru-RU"/>
              </w:rPr>
              <w:t xml:space="preserve"> </w:t>
            </w:r>
            <w:r w:rsidRPr="00E93C8D">
              <w:rPr>
                <w:sz w:val="20"/>
                <w:lang w:val="ru-RU"/>
              </w:rPr>
              <w:lastRenderedPageBreak/>
              <w:t xml:space="preserve">Делойт, и/или, по согласованию с Клиентом, любому иному лицу (далее совместно – "Субподрядчики"). </w:t>
            </w:r>
          </w:p>
          <w:p w:rsidR="00A42FC8" w:rsidRPr="00E93C8D" w:rsidRDefault="00A42FC8" w:rsidP="00826413">
            <w:pPr>
              <w:widowControl w:val="0"/>
              <w:spacing w:after="120"/>
              <w:rPr>
                <w:sz w:val="20"/>
                <w:lang w:val="ru-RU"/>
              </w:rPr>
            </w:pPr>
            <w:r w:rsidRPr="00E93C8D">
              <w:rPr>
                <w:sz w:val="20"/>
                <w:lang w:val="ru-RU"/>
              </w:rPr>
              <w:t>В ходе оказания Услуг работники субподрядчика Делойта – Компании с ограниченной ответственностью «Делойт и Туш Риджинал Консалтинг Сервисис Лимитед», Представительство г. Москва («РКСЛ»), имеют право напрямую взаимодействовать с Клиентом, в частности, запрашивать необходимые документы и информацию, вести переписку и т.д. Положения пунктов 2(а), 15, 19 Общих условий, применяются также к РКСЛ. Результаты оказания Услуг могут быть предоставлены Клиенту непосредственно РКСЛ.</w:t>
            </w:r>
          </w:p>
          <w:p w:rsidR="00A42FC8" w:rsidRPr="00E93C8D" w:rsidRDefault="00A42FC8" w:rsidP="003E124E">
            <w:pPr>
              <w:widowControl w:val="0"/>
              <w:spacing w:after="120"/>
              <w:rPr>
                <w:sz w:val="20"/>
                <w:lang w:val="ru-RU"/>
              </w:rPr>
            </w:pPr>
            <w:r w:rsidRPr="00E93C8D">
              <w:rPr>
                <w:sz w:val="20"/>
                <w:lang w:val="ru-RU"/>
              </w:rPr>
              <w:t>Клиент имеет договорные отношения исключительно с Делойт, как лицом, обязавшимся оказать ему Услуги. Каждая из сторон действует независимо, и ни одна из сторон не является и не может считаться агентом, дистрибутором, партнером, доверенным лицом, совладельцем или представителем другой стороны, или участником совместного предприятия.</w:t>
            </w:r>
          </w:p>
        </w:tc>
      </w:tr>
      <w:tr w:rsidR="00E93C8D" w:rsidRPr="00E94258" w:rsidTr="009576BA">
        <w:trPr>
          <w:gridAfter w:val="1"/>
          <w:wAfter w:w="392" w:type="dxa"/>
        </w:trPr>
        <w:tc>
          <w:tcPr>
            <w:tcW w:w="4820" w:type="dxa"/>
            <w:gridSpan w:val="2"/>
          </w:tcPr>
          <w:p w:rsidR="00975AE5" w:rsidRPr="00E93C8D" w:rsidRDefault="00975AE5" w:rsidP="001C5B20">
            <w:pPr>
              <w:widowControl w:val="0"/>
              <w:tabs>
                <w:tab w:val="left" w:pos="500"/>
              </w:tabs>
              <w:spacing w:after="120"/>
              <w:rPr>
                <w:sz w:val="20"/>
              </w:rPr>
            </w:pPr>
            <w:r w:rsidRPr="00E93C8D">
              <w:rPr>
                <w:sz w:val="20"/>
              </w:rPr>
              <w:lastRenderedPageBreak/>
              <w:t>(d) Deloitte</w:t>
            </w:r>
            <w:r w:rsidR="00310A2E" w:rsidRPr="00E93C8D">
              <w:rPr>
                <w:sz w:val="20"/>
              </w:rPr>
              <w:t xml:space="preserve"> </w:t>
            </w:r>
            <w:r w:rsidRPr="00E93C8D">
              <w:rPr>
                <w:sz w:val="20"/>
              </w:rPr>
              <w:t xml:space="preserve">and/or RCSL according to cl. 6 remains responsible to the Client for all of the Services performed or to be performed under this Contract, including Services performed by its </w:t>
            </w:r>
            <w:r w:rsidRPr="00E93C8D" w:rsidDel="002B6E57">
              <w:rPr>
                <w:sz w:val="20"/>
              </w:rPr>
              <w:t>Sub</w:t>
            </w:r>
            <w:r w:rsidR="00F6239E" w:rsidRPr="00E93C8D">
              <w:rPr>
                <w:sz w:val="20"/>
              </w:rPr>
              <w:t>contractors</w:t>
            </w:r>
            <w:r w:rsidRPr="00E93C8D">
              <w:rPr>
                <w:sz w:val="20"/>
              </w:rPr>
              <w:t xml:space="preserve">.  </w:t>
            </w:r>
            <w:r w:rsidRPr="00E93C8D" w:rsidDel="002B6E57">
              <w:rPr>
                <w:sz w:val="20"/>
              </w:rPr>
              <w:t xml:space="preserve">Accordingly, to the fullest extent possible under applicable law, </w:t>
            </w:r>
            <w:r w:rsidRPr="00E93C8D">
              <w:rPr>
                <w:sz w:val="20"/>
              </w:rPr>
              <w:t xml:space="preserve">(i) </w:t>
            </w:r>
            <w:r w:rsidRPr="00E93C8D" w:rsidDel="002B6E57">
              <w:rPr>
                <w:sz w:val="20"/>
              </w:rPr>
              <w:t xml:space="preserve">none of </w:t>
            </w:r>
            <w:r w:rsidR="00F6239E" w:rsidRPr="00E93C8D">
              <w:rPr>
                <w:sz w:val="20"/>
              </w:rPr>
              <w:t xml:space="preserve">the </w:t>
            </w:r>
            <w:r w:rsidR="00F21B22" w:rsidRPr="00E93C8D">
              <w:rPr>
                <w:sz w:val="20"/>
              </w:rPr>
              <w:t>Deloitte</w:t>
            </w:r>
            <w:r w:rsidRPr="00E93C8D">
              <w:rPr>
                <w:sz w:val="20"/>
              </w:rPr>
              <w:t xml:space="preserve"> Entities </w:t>
            </w:r>
            <w:r w:rsidRPr="00E93C8D" w:rsidDel="002B6E57">
              <w:rPr>
                <w:sz w:val="20"/>
              </w:rPr>
              <w:t>(except Deloitte</w:t>
            </w:r>
            <w:r w:rsidR="001C5B20" w:rsidRPr="00E93C8D">
              <w:rPr>
                <w:sz w:val="20"/>
              </w:rPr>
              <w:t xml:space="preserve"> </w:t>
            </w:r>
            <w:r w:rsidRPr="00E93C8D">
              <w:rPr>
                <w:sz w:val="20"/>
              </w:rPr>
              <w:t>and/or RCSL according to cl. 6</w:t>
            </w:r>
            <w:r w:rsidRPr="00E93C8D" w:rsidDel="002B6E57">
              <w:rPr>
                <w:sz w:val="20"/>
              </w:rPr>
              <w:t xml:space="preserve">) will have any liability to the Client </w:t>
            </w:r>
            <w:r w:rsidRPr="00E93C8D">
              <w:rPr>
                <w:sz w:val="20"/>
              </w:rPr>
              <w:t xml:space="preserve">(ii) </w:t>
            </w:r>
            <w:r w:rsidRPr="00E93C8D" w:rsidDel="002B6E57">
              <w:rPr>
                <w:sz w:val="20"/>
              </w:rPr>
              <w:t>the Client will not bring, any claim or proceedings of any nature (whether in contract, tort, breach of statutory duty or otherwise</w:t>
            </w:r>
            <w:r w:rsidRPr="00E93C8D">
              <w:rPr>
                <w:sz w:val="20"/>
              </w:rPr>
              <w:t>,</w:t>
            </w:r>
            <w:r w:rsidRPr="00E93C8D" w:rsidDel="002B6E57">
              <w:rPr>
                <w:sz w:val="20"/>
              </w:rPr>
              <w:t xml:space="preserve"> and including, but not limited to, a claim for negligence) in any way in respect of or in connection with this Contract against any of</w:t>
            </w:r>
            <w:r w:rsidR="00F6239E" w:rsidRPr="00E93C8D">
              <w:rPr>
                <w:sz w:val="20"/>
              </w:rPr>
              <w:t xml:space="preserve"> the</w:t>
            </w:r>
            <w:r w:rsidRPr="00E93C8D" w:rsidDel="002B6E57">
              <w:rPr>
                <w:sz w:val="20"/>
              </w:rPr>
              <w:t xml:space="preserve"> </w:t>
            </w:r>
            <w:r w:rsidR="00F21B22" w:rsidRPr="00E93C8D">
              <w:rPr>
                <w:sz w:val="20"/>
              </w:rPr>
              <w:t>Deloitte</w:t>
            </w:r>
            <w:r w:rsidRPr="00E93C8D">
              <w:rPr>
                <w:sz w:val="20"/>
              </w:rPr>
              <w:t xml:space="preserve"> Entities</w:t>
            </w:r>
            <w:r w:rsidRPr="00E93C8D" w:rsidDel="00F17E3A">
              <w:rPr>
                <w:sz w:val="20"/>
              </w:rPr>
              <w:t xml:space="preserve"> </w:t>
            </w:r>
            <w:r w:rsidRPr="00E93C8D" w:rsidDel="002B6E57">
              <w:rPr>
                <w:sz w:val="20"/>
              </w:rPr>
              <w:t>(except Deloitte</w:t>
            </w:r>
            <w:r w:rsidR="001C5B20" w:rsidRPr="00E93C8D">
              <w:rPr>
                <w:sz w:val="20"/>
              </w:rPr>
              <w:t xml:space="preserve"> and/or RCSL according to cl. 6</w:t>
            </w:r>
            <w:r w:rsidRPr="00E93C8D" w:rsidDel="002B6E57">
              <w:rPr>
                <w:sz w:val="20"/>
              </w:rPr>
              <w:t>)</w:t>
            </w:r>
            <w:r w:rsidRPr="00E93C8D">
              <w:rPr>
                <w:sz w:val="20"/>
              </w:rPr>
              <w:t xml:space="preserve"> and (iii) the Client will also ensure that no other member of the Client Group which is not a party to the Contract brings </w:t>
            </w:r>
            <w:r w:rsidRPr="00E93C8D" w:rsidDel="002B6E57">
              <w:rPr>
                <w:sz w:val="20"/>
              </w:rPr>
              <w:t>any claim or proceedings of any nature (whether in contract, tort, breach of statutory duty or otherwise</w:t>
            </w:r>
            <w:r w:rsidRPr="00E93C8D">
              <w:rPr>
                <w:sz w:val="20"/>
              </w:rPr>
              <w:t>,</w:t>
            </w:r>
            <w:r w:rsidRPr="00E93C8D" w:rsidDel="002B6E57">
              <w:rPr>
                <w:sz w:val="20"/>
              </w:rPr>
              <w:t xml:space="preserve"> and including, but not limited to, a claim for negligence) in any way in respect of or in connection with this Contract against any of</w:t>
            </w:r>
            <w:r w:rsidR="00F6239E" w:rsidRPr="00E93C8D">
              <w:rPr>
                <w:sz w:val="20"/>
              </w:rPr>
              <w:t xml:space="preserve"> the</w:t>
            </w:r>
            <w:r w:rsidRPr="00E93C8D" w:rsidDel="002B6E57">
              <w:rPr>
                <w:sz w:val="20"/>
              </w:rPr>
              <w:t xml:space="preserve"> </w:t>
            </w:r>
            <w:r w:rsidR="00F21B22" w:rsidRPr="00E93C8D">
              <w:rPr>
                <w:sz w:val="20"/>
              </w:rPr>
              <w:t>Deloitte</w:t>
            </w:r>
            <w:r w:rsidRPr="00E93C8D">
              <w:rPr>
                <w:sz w:val="20"/>
              </w:rPr>
              <w:t xml:space="preserve"> Entities.</w:t>
            </w:r>
          </w:p>
        </w:tc>
        <w:tc>
          <w:tcPr>
            <w:tcW w:w="4820" w:type="dxa"/>
            <w:gridSpan w:val="2"/>
          </w:tcPr>
          <w:p w:rsidR="00975AE5" w:rsidRPr="00E93C8D" w:rsidRDefault="00975AE5" w:rsidP="001C5B20">
            <w:pPr>
              <w:widowControl w:val="0"/>
              <w:tabs>
                <w:tab w:val="left" w:pos="500"/>
              </w:tabs>
              <w:spacing w:after="120"/>
              <w:rPr>
                <w:sz w:val="20"/>
                <w:lang w:val="ru-RU"/>
              </w:rPr>
            </w:pPr>
            <w:r w:rsidRPr="00E93C8D">
              <w:rPr>
                <w:sz w:val="20"/>
                <w:lang w:val="ru-RU"/>
              </w:rPr>
              <w:t>(</w:t>
            </w:r>
            <w:r w:rsidRPr="00E93C8D">
              <w:rPr>
                <w:sz w:val="20"/>
              </w:rPr>
              <w:t>d</w:t>
            </w:r>
            <w:r w:rsidRPr="00E93C8D">
              <w:rPr>
                <w:sz w:val="20"/>
                <w:lang w:val="ru-RU"/>
              </w:rPr>
              <w:t>) Делойт</w:t>
            </w:r>
            <w:r w:rsidR="00310A2E" w:rsidRPr="00E93C8D">
              <w:rPr>
                <w:sz w:val="20"/>
                <w:lang w:val="ru-RU"/>
              </w:rPr>
              <w:t xml:space="preserve"> </w:t>
            </w:r>
            <w:r w:rsidRPr="00E93C8D">
              <w:rPr>
                <w:sz w:val="20"/>
                <w:lang w:val="ru-RU"/>
              </w:rPr>
              <w:t>и/или РКСЛ в соответствии с п. 6 несет ответственность перед Клиентом за все Услуги по настоящему Договору, включая Услуги, оказываемые его Субподрядчиками. Соответственно, в той мере, в какой это разрешено применимым законодательством, (</w:t>
            </w:r>
            <w:r w:rsidRPr="00E93C8D">
              <w:rPr>
                <w:sz w:val="20"/>
              </w:rPr>
              <w:t>i</w:t>
            </w:r>
            <w:r w:rsidRPr="00E93C8D">
              <w:rPr>
                <w:sz w:val="20"/>
                <w:lang w:val="ru-RU"/>
              </w:rPr>
              <w:t>) ни одна из Компаний "Делойт" (за исключением Делойт</w:t>
            </w:r>
            <w:r w:rsidR="00310A2E" w:rsidRPr="00E93C8D">
              <w:rPr>
                <w:sz w:val="20"/>
                <w:lang w:val="ru-RU"/>
              </w:rPr>
              <w:t xml:space="preserve"> </w:t>
            </w:r>
            <w:r w:rsidRPr="00E93C8D">
              <w:rPr>
                <w:sz w:val="20"/>
                <w:lang w:val="ru-RU"/>
              </w:rPr>
              <w:t>и/или РКСЛ в соответствии с п. 6) не несет никакой ответственности перед Клиентом, (</w:t>
            </w:r>
            <w:r w:rsidRPr="00E93C8D">
              <w:rPr>
                <w:sz w:val="20"/>
              </w:rPr>
              <w:t>ii</w:t>
            </w:r>
            <w:r w:rsidRPr="00E93C8D">
              <w:rPr>
                <w:sz w:val="20"/>
                <w:lang w:val="ru-RU"/>
              </w:rPr>
              <w:t>) Клиент не будет предъявлять никаких требований или исков любого характера (вытекающих из договора, деликта, нарушения установленных законом обязанностей или на иных основаниях, включая, в частности, ущерб в результате небрежности) против любой из Компаний "Делойт" (за исключением Делойт</w:t>
            </w:r>
            <w:r w:rsidR="001C5B20" w:rsidRPr="00E93C8D">
              <w:rPr>
                <w:sz w:val="20"/>
                <w:lang w:val="ru-RU"/>
              </w:rPr>
              <w:t xml:space="preserve"> и/или РКСЛ в соответствии с п. 6</w:t>
            </w:r>
            <w:r w:rsidRPr="00E93C8D">
              <w:rPr>
                <w:sz w:val="20"/>
                <w:lang w:val="ru-RU"/>
              </w:rPr>
              <w:t>) в отношении или в связи с настоящим Договором и (</w:t>
            </w:r>
            <w:r w:rsidRPr="00E93C8D">
              <w:rPr>
                <w:sz w:val="20"/>
              </w:rPr>
              <w:t>iii</w:t>
            </w:r>
            <w:r w:rsidRPr="00E93C8D">
              <w:rPr>
                <w:sz w:val="20"/>
                <w:lang w:val="ru-RU"/>
              </w:rPr>
              <w:t>) обязуется обеспечить отсутствие таких требований или исков со стороны других компаний Группы Клиента.</w:t>
            </w:r>
          </w:p>
        </w:tc>
      </w:tr>
      <w:tr w:rsidR="00E93C8D" w:rsidRPr="009576BA" w:rsidTr="009576BA">
        <w:trPr>
          <w:gridAfter w:val="1"/>
          <w:wAfter w:w="392" w:type="dxa"/>
        </w:trPr>
        <w:tc>
          <w:tcPr>
            <w:tcW w:w="4820" w:type="dxa"/>
            <w:gridSpan w:val="2"/>
          </w:tcPr>
          <w:p w:rsidR="00975AE5" w:rsidRPr="00E93C8D" w:rsidRDefault="00975AE5" w:rsidP="00F6239E">
            <w:pPr>
              <w:widowControl w:val="0"/>
              <w:tabs>
                <w:tab w:val="left" w:pos="500"/>
              </w:tabs>
              <w:spacing w:after="120"/>
              <w:rPr>
                <w:sz w:val="20"/>
              </w:rPr>
            </w:pPr>
            <w:r w:rsidRPr="00E93C8D">
              <w:rPr>
                <w:sz w:val="20"/>
              </w:rPr>
              <w:t>(e) “Deloitte Entities” means Deloitte Touche Tohmatsu Limited, a UK private company limited by guarantee (“DTTL”), its member firms and their respective subsidiaries and affiliates (including Deloitte), their predecessors, successors and assignees, and all partners, principals, members, owners, directors, employees, sub</w:t>
            </w:r>
            <w:r w:rsidR="00F6239E" w:rsidRPr="00E93C8D">
              <w:rPr>
                <w:sz w:val="20"/>
              </w:rPr>
              <w:t>contractors</w:t>
            </w:r>
            <w:r w:rsidRPr="00E93C8D">
              <w:rPr>
                <w:sz w:val="20"/>
              </w:rPr>
              <w:t xml:space="preserve">  (including the </w:t>
            </w:r>
            <w:r w:rsidR="00F6239E" w:rsidRPr="00E93C8D">
              <w:rPr>
                <w:sz w:val="20"/>
              </w:rPr>
              <w:t>Subcontractors</w:t>
            </w:r>
            <w:r w:rsidRPr="00E93C8D">
              <w:rPr>
                <w:sz w:val="20"/>
              </w:rPr>
              <w:t>) and agents of all such entities.  Neither DTTL nor, except as expressly provided herein, any member firm of DTTL has any liability for each other’s acts or omissions. Each member firm of DTTL is a separate and independent legal entity operating under the names “Deloitte”, “Deloitte &amp; Touche”, “Deloitte Touche Tohmatsu” or other related names; and services are provided by member firms or their subsidiaries or affiliates and not by DTTL.</w:t>
            </w:r>
          </w:p>
        </w:tc>
        <w:tc>
          <w:tcPr>
            <w:tcW w:w="4820" w:type="dxa"/>
            <w:gridSpan w:val="2"/>
          </w:tcPr>
          <w:p w:rsidR="00975AE5" w:rsidRPr="00E93C8D" w:rsidRDefault="00975AE5" w:rsidP="003E124E">
            <w:pPr>
              <w:widowControl w:val="0"/>
              <w:tabs>
                <w:tab w:val="left" w:pos="500"/>
              </w:tabs>
              <w:spacing w:after="120"/>
              <w:rPr>
                <w:sz w:val="20"/>
                <w:lang w:val="ru-RU"/>
              </w:rPr>
            </w:pPr>
            <w:r w:rsidRPr="00E93C8D">
              <w:rPr>
                <w:sz w:val="20"/>
                <w:lang w:val="ru-RU"/>
              </w:rPr>
              <w:t>(</w:t>
            </w:r>
            <w:r w:rsidRPr="00E93C8D">
              <w:rPr>
                <w:sz w:val="20"/>
              </w:rPr>
              <w:t>e</w:t>
            </w:r>
            <w:r w:rsidRPr="00E93C8D">
              <w:rPr>
                <w:sz w:val="20"/>
                <w:lang w:val="ru-RU"/>
              </w:rPr>
              <w:t>) Наименование «Компания(и)  Делойт», в зависимости от контекста, относятся к одному либо любому количеству юридических лиц, входящих в сеть «Делойт Туш Томацу Лимитед», частной компании с ответственностью участников в гарантированных ими пределах, зарегистрированную в соответствии с законодательством Великобритании («ДТТЛ»); любому из юридических лиц, входящих в ее сеть, а также их соответствующим аффилированным компаниям, их правопредшественникам, правопреемникам и цессионариям, а также всем партнерам, принципалам, участникам / членам, владельцам, директорам, работникам</w:t>
            </w:r>
            <w:r w:rsidR="00CB2E3F" w:rsidRPr="00E93C8D">
              <w:rPr>
                <w:sz w:val="20"/>
                <w:lang w:val="ru-RU"/>
              </w:rPr>
              <w:t>, субподрядчикам (включая Субподрядчиков) и агентов</w:t>
            </w:r>
            <w:r w:rsidRPr="00E93C8D">
              <w:rPr>
                <w:sz w:val="20"/>
                <w:lang w:val="ru-RU"/>
              </w:rPr>
              <w:t xml:space="preserve"> каждой такой компании. Ни ДТТЛ, если иное прямо не оговорено в настоящем документе, ни иные юридические лица, входящие в сеть ДТТЛ, не несут какой-либо ответственности за действия или упущения друг друга. Каждое юридическое лицо, входящее в сеть ДТТЛ, является отдельным и независимым </w:t>
            </w:r>
            <w:r w:rsidRPr="00E93C8D">
              <w:rPr>
                <w:sz w:val="20"/>
                <w:lang w:val="ru-RU"/>
              </w:rPr>
              <w:lastRenderedPageBreak/>
              <w:t>юридическим лицом, действующим под одним из наименований - «Делойт», «Делойт и Туш», «Делойт Туш Томацу» или иными схожими наименованиями; услуги предоставляются юридическими лицами, входящими в сеть ДТТЛ, их дочерними предприятиями или аффилированными компаниями, но не ДТТЛ.</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rPr>
            </w:pPr>
            <w:r w:rsidRPr="00E93C8D">
              <w:rPr>
                <w:i w:val="0"/>
                <w:sz w:val="20"/>
              </w:rPr>
              <w:lastRenderedPageBreak/>
              <w:t>2. Responsibilities of the Client and of Deloitte</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i w:val="0"/>
                <w:sz w:val="20"/>
                <w:lang w:val="ru-RU"/>
              </w:rPr>
              <w:t>2. Обязанности Клиента и Делойт</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rPr>
              <w:t>(a) Responsibilities of the Client</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rPr>
              <w:t>(a)</w:t>
            </w:r>
            <w:r w:rsidRPr="00E93C8D">
              <w:rPr>
                <w:bCs/>
                <w:i w:val="0"/>
                <w:sz w:val="20"/>
              </w:rPr>
              <w:tab/>
              <w:t>Обязанности Клиента</w:t>
            </w:r>
          </w:p>
        </w:tc>
      </w:tr>
      <w:tr w:rsidR="00E93C8D" w:rsidRPr="009576BA" w:rsidTr="009576BA">
        <w:trPr>
          <w:gridAfter w:val="1"/>
          <w:wAfter w:w="392" w:type="dxa"/>
        </w:trPr>
        <w:tc>
          <w:tcPr>
            <w:tcW w:w="4820" w:type="dxa"/>
            <w:gridSpan w:val="2"/>
          </w:tcPr>
          <w:p w:rsidR="007B523A" w:rsidRPr="00E93C8D" w:rsidRDefault="007B523A" w:rsidP="00922027">
            <w:pPr>
              <w:pStyle w:val="1"/>
              <w:keepNext w:val="0"/>
              <w:widowControl w:val="0"/>
              <w:numPr>
                <w:ilvl w:val="0"/>
                <w:numId w:val="0"/>
              </w:numPr>
              <w:spacing w:after="120"/>
              <w:outlineLvl w:val="0"/>
              <w:rPr>
                <w:b w:val="0"/>
                <w:i w:val="0"/>
                <w:sz w:val="20"/>
              </w:rPr>
            </w:pPr>
            <w:r w:rsidRPr="00E93C8D">
              <w:rPr>
                <w:b w:val="0"/>
                <w:i w:val="0"/>
                <w:sz w:val="20"/>
              </w:rPr>
              <w:t>(i) The Client shall cooperate with Deloitte and its Sub</w:t>
            </w:r>
            <w:r w:rsidR="00491EA2" w:rsidRPr="00E93C8D">
              <w:rPr>
                <w:b w:val="0"/>
                <w:i w:val="0"/>
                <w:sz w:val="20"/>
              </w:rPr>
              <w:t>contractors</w:t>
            </w:r>
            <w:r w:rsidRPr="00E93C8D">
              <w:rPr>
                <w:b w:val="0"/>
                <w:i w:val="0"/>
                <w:sz w:val="20"/>
              </w:rPr>
              <w:t xml:space="preserve"> in the performance by Deloitte of the Services, including, without limitation, providing Deloitte and its Sub</w:t>
            </w:r>
            <w:r w:rsidR="00491EA2" w:rsidRPr="00E93C8D">
              <w:rPr>
                <w:b w:val="0"/>
                <w:i w:val="0"/>
                <w:sz w:val="20"/>
              </w:rPr>
              <w:t>contractors</w:t>
            </w:r>
            <w:r w:rsidRPr="00E93C8D">
              <w:rPr>
                <w:b w:val="0"/>
                <w:i w:val="0"/>
                <w:sz w:val="20"/>
              </w:rPr>
              <w:t xml:space="preserve"> with reasonable facilities and timely access to</w:t>
            </w:r>
            <w:r w:rsidR="0083173C" w:rsidRPr="00E93C8D">
              <w:rPr>
                <w:b w:val="0"/>
                <w:i w:val="0"/>
                <w:sz w:val="20"/>
              </w:rPr>
              <w:t xml:space="preserve"> </w:t>
            </w:r>
            <w:r w:rsidRPr="00E93C8D">
              <w:rPr>
                <w:b w:val="0"/>
                <w:i w:val="0"/>
                <w:sz w:val="20"/>
              </w:rPr>
              <w:t>data, information and personnel of the Client Group. The Client shall be responsible for the performance of its personnel and</w:t>
            </w:r>
            <w:r w:rsidR="00922027" w:rsidRPr="00E93C8D">
              <w:rPr>
                <w:b w:val="0"/>
                <w:i w:val="0"/>
                <w:sz w:val="20"/>
              </w:rPr>
              <w:t xml:space="preserve"> </w:t>
            </w:r>
            <w:r w:rsidRPr="00E93C8D">
              <w:rPr>
                <w:b w:val="0"/>
                <w:i w:val="0"/>
                <w:sz w:val="20"/>
              </w:rPr>
              <w:t>third parties retained by the Client, for the timeliness, accuracy and completeness of all data and information (including all financial information and statements) provided to Deloitte and its Sub</w:t>
            </w:r>
            <w:r w:rsidR="00491EA2" w:rsidRPr="00E93C8D">
              <w:rPr>
                <w:b w:val="0"/>
                <w:i w:val="0"/>
                <w:sz w:val="20"/>
              </w:rPr>
              <w:t>contractors</w:t>
            </w:r>
            <w:r w:rsidRPr="00E93C8D">
              <w:rPr>
                <w:b w:val="0"/>
                <w:i w:val="0"/>
                <w:sz w:val="20"/>
              </w:rPr>
              <w:t xml:space="preserve"> by or on behalf of the Client Group and for the implementation of any Advice provided as part of the Services.  Deloitte and its Sub</w:t>
            </w:r>
            <w:r w:rsidR="00491EA2" w:rsidRPr="00E93C8D">
              <w:rPr>
                <w:b w:val="0"/>
                <w:i w:val="0"/>
                <w:sz w:val="20"/>
              </w:rPr>
              <w:t>contractors</w:t>
            </w:r>
            <w:r w:rsidRPr="00E93C8D">
              <w:rPr>
                <w:b w:val="0"/>
                <w:i w:val="0"/>
                <w:sz w:val="20"/>
              </w:rPr>
              <w:t xml:space="preserve"> may </w:t>
            </w:r>
            <w:r w:rsidRPr="00E93C8D" w:rsidDel="00626E90">
              <w:rPr>
                <w:b w:val="0"/>
                <w:i w:val="0"/>
                <w:sz w:val="20"/>
              </w:rPr>
              <w:t xml:space="preserve">use </w:t>
            </w:r>
            <w:r w:rsidRPr="00E93C8D">
              <w:rPr>
                <w:b w:val="0"/>
                <w:i w:val="0"/>
                <w:sz w:val="20"/>
              </w:rPr>
              <w:t>and rely on information and data furnished by the Client or others without verification. The performance of the Services is dependent upon the timely performance of the Client’s responsibilities under the Contract and timely decisions and approvals of the Client in connection with the Services. Deloitte and its Sub</w:t>
            </w:r>
            <w:r w:rsidR="00491EA2" w:rsidRPr="00E93C8D">
              <w:rPr>
                <w:b w:val="0"/>
                <w:i w:val="0"/>
                <w:sz w:val="20"/>
              </w:rPr>
              <w:t>contractors</w:t>
            </w:r>
            <w:r w:rsidRPr="00E93C8D">
              <w:rPr>
                <w:b w:val="0"/>
                <w:i w:val="0"/>
                <w:sz w:val="20"/>
              </w:rPr>
              <w:t xml:space="preserve"> shall be entitled to rely on all decisions and approvals of the Client.</w:t>
            </w:r>
          </w:p>
        </w:tc>
        <w:tc>
          <w:tcPr>
            <w:tcW w:w="4820" w:type="dxa"/>
            <w:gridSpan w:val="2"/>
          </w:tcPr>
          <w:p w:rsidR="007B523A" w:rsidRPr="00E93C8D" w:rsidRDefault="007B523A" w:rsidP="003908C4">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i</w:t>
            </w:r>
            <w:r w:rsidRPr="00E93C8D">
              <w:rPr>
                <w:b w:val="0"/>
                <w:i w:val="0"/>
                <w:sz w:val="20"/>
                <w:lang w:val="ru-RU"/>
              </w:rPr>
              <w:t>) Клиент обязан оказывать Делойт и его Субподрядчикам содействие в ходе оказания Услуг, включая, в том числе, помимо прочего, предоставление Делойт и его Субподрядчикам обоснованно необходимых для оказания услуг условий и своевременного доступа к данным, информации и персоналу Группы Клиента. Клиент несет ответственность за содействие со стороны своих работников и</w:t>
            </w:r>
            <w:r w:rsidR="003908C4" w:rsidRPr="00E93C8D">
              <w:rPr>
                <w:b w:val="0"/>
                <w:i w:val="0"/>
                <w:sz w:val="20"/>
                <w:lang w:val="ru-RU"/>
              </w:rPr>
              <w:t xml:space="preserve"> </w:t>
            </w:r>
            <w:r w:rsidRPr="00E93C8D">
              <w:rPr>
                <w:b w:val="0"/>
                <w:i w:val="0"/>
                <w:sz w:val="20"/>
                <w:lang w:val="ru-RU"/>
              </w:rPr>
              <w:t>третьих лиц, нанятых Клиентом, за достоверность, полноту и своевременность предоставления всех данных и информации (включая финансовую информацию и отчетность), передаваемых Делойт и его Субподрядчикам Группой Клиента или по ее поручению, а также за реализацию (внедрение) любых Рекомендаций, предоставленных в рамках оказания Услуг. Делойт и его Субподрядчики вправе полагаться на предоставленную Клиентом и иными лицами информацию и использовать их без дополнительной проверки. Оказание Услуг будет зависеть от своевременного исполнения Клиентом своих обязанностей по Договору и своевременности принятия решений и согласований, требуемых от Клиента в связи с Услугами. При этом Делойт и его Субподрядчики вправе полагаться на все решения и согласования Клиента.</w:t>
            </w:r>
          </w:p>
        </w:tc>
      </w:tr>
      <w:tr w:rsidR="00E93C8D" w:rsidRPr="00E94258"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rPr>
            </w:pPr>
            <w:r w:rsidRPr="00E93C8D">
              <w:rPr>
                <w:b w:val="0"/>
                <w:i w:val="0"/>
                <w:sz w:val="20"/>
              </w:rPr>
              <w:t>(ii) The Client shall be solely responsible for, among other things: (A) making all management decisions and performing all management functions; (B) designating one or more individuals who possess suitable skill, knowledge, and/or experience, preferably within senior</w:t>
            </w:r>
            <w:r w:rsidRPr="00E93C8D" w:rsidDel="003332BD">
              <w:rPr>
                <w:b w:val="0"/>
                <w:i w:val="0"/>
                <w:sz w:val="20"/>
              </w:rPr>
              <w:t xml:space="preserve"> </w:t>
            </w:r>
            <w:r w:rsidRPr="00E93C8D">
              <w:rPr>
                <w:b w:val="0"/>
                <w:i w:val="0"/>
                <w:sz w:val="20"/>
              </w:rPr>
              <w:t xml:space="preserve">management to oversee the Services; (C) evaluating the adequacy and results of the Services; (D) accepting responsibility for implementing the results of the Services; and (E) establishing and maintaining internal controls, including, without limitation, monitoring ongoing activities. </w:t>
            </w:r>
          </w:p>
        </w:tc>
        <w:tc>
          <w:tcPr>
            <w:tcW w:w="4820" w:type="dxa"/>
            <w:gridSpan w:val="2"/>
          </w:tcPr>
          <w:p w:rsidR="00975AE5" w:rsidRPr="00E93C8D" w:rsidRDefault="00975AE5" w:rsidP="00FE0586">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ii</w:t>
            </w:r>
            <w:r w:rsidRPr="00E93C8D">
              <w:rPr>
                <w:b w:val="0"/>
                <w:i w:val="0"/>
                <w:sz w:val="20"/>
                <w:lang w:val="ru-RU"/>
              </w:rPr>
              <w:t>) Исключительно Клиент наряду с иными обязанностями несет ответственность за следующее: (</w:t>
            </w:r>
            <w:r w:rsidRPr="00E93C8D">
              <w:rPr>
                <w:b w:val="0"/>
                <w:i w:val="0"/>
                <w:sz w:val="20"/>
              </w:rPr>
              <w:t>A</w:t>
            </w:r>
            <w:r w:rsidRPr="00E93C8D">
              <w:rPr>
                <w:b w:val="0"/>
                <w:i w:val="0"/>
                <w:sz w:val="20"/>
                <w:lang w:val="ru-RU"/>
              </w:rPr>
              <w:t>) принятие всех управленческих решений и выполнение функций руководства; (</w:t>
            </w:r>
            <w:r w:rsidRPr="00E93C8D">
              <w:rPr>
                <w:b w:val="0"/>
                <w:i w:val="0"/>
                <w:sz w:val="20"/>
              </w:rPr>
              <w:t>B</w:t>
            </w:r>
            <w:r w:rsidRPr="00E93C8D">
              <w:rPr>
                <w:b w:val="0"/>
                <w:i w:val="0"/>
                <w:sz w:val="20"/>
                <w:lang w:val="ru-RU"/>
              </w:rPr>
              <w:t>) назначение одного или нескольких лиц, обладающих соответствующей квалификацией (желательно из состава высшего руководства), ответственных за надзором за оказанием Услуг; (</w:t>
            </w:r>
            <w:r w:rsidRPr="00E93C8D">
              <w:rPr>
                <w:b w:val="0"/>
                <w:i w:val="0"/>
                <w:sz w:val="20"/>
              </w:rPr>
              <w:t>C</w:t>
            </w:r>
            <w:r w:rsidRPr="00E93C8D">
              <w:rPr>
                <w:b w:val="0"/>
                <w:i w:val="0"/>
                <w:sz w:val="20"/>
                <w:lang w:val="ru-RU"/>
              </w:rPr>
              <w:t>) оценку достаточности и результатов оказанных Услуг; (</w:t>
            </w:r>
            <w:r w:rsidRPr="00E93C8D">
              <w:rPr>
                <w:b w:val="0"/>
                <w:i w:val="0"/>
                <w:sz w:val="20"/>
              </w:rPr>
              <w:t>D</w:t>
            </w:r>
            <w:r w:rsidRPr="00E93C8D">
              <w:rPr>
                <w:b w:val="0"/>
                <w:i w:val="0"/>
                <w:sz w:val="20"/>
                <w:lang w:val="ru-RU"/>
              </w:rPr>
              <w:t>) принятие на себя ответственности за использование результат</w:t>
            </w:r>
            <w:r w:rsidR="00FE0586" w:rsidRPr="00E93C8D">
              <w:rPr>
                <w:b w:val="0"/>
                <w:i w:val="0"/>
                <w:sz w:val="20"/>
                <w:lang w:val="ru-RU"/>
              </w:rPr>
              <w:t>ов</w:t>
            </w:r>
            <w:r w:rsidRPr="00E93C8D">
              <w:rPr>
                <w:b w:val="0"/>
                <w:i w:val="0"/>
                <w:sz w:val="20"/>
                <w:lang w:val="ru-RU"/>
              </w:rPr>
              <w:t xml:space="preserve"> Услуг; и (</w:t>
            </w:r>
            <w:r w:rsidRPr="00E93C8D">
              <w:rPr>
                <w:b w:val="0"/>
                <w:i w:val="0"/>
                <w:sz w:val="20"/>
              </w:rPr>
              <w:t>E</w:t>
            </w:r>
            <w:r w:rsidRPr="00E93C8D">
              <w:rPr>
                <w:b w:val="0"/>
                <w:i w:val="0"/>
                <w:sz w:val="20"/>
                <w:lang w:val="ru-RU"/>
              </w:rPr>
              <w:t>) создание и использование систем внутреннего контроля, включая, в том числе, помимо прочего, контроль за текущей деятельностью.</w:t>
            </w:r>
          </w:p>
        </w:tc>
      </w:tr>
      <w:tr w:rsidR="00E93C8D" w:rsidRPr="00E93C8D" w:rsidTr="009576BA">
        <w:trPr>
          <w:gridAfter w:val="1"/>
          <w:wAfter w:w="392" w:type="dxa"/>
        </w:trPr>
        <w:tc>
          <w:tcPr>
            <w:tcW w:w="4820" w:type="dxa"/>
            <w:gridSpan w:val="2"/>
          </w:tcPr>
          <w:p w:rsidR="00802AFE" w:rsidRPr="00E93C8D" w:rsidRDefault="00802AFE" w:rsidP="00802AFE">
            <w:pPr>
              <w:pStyle w:val="1"/>
              <w:keepNext w:val="0"/>
              <w:widowControl w:val="0"/>
              <w:numPr>
                <w:ilvl w:val="0"/>
                <w:numId w:val="0"/>
              </w:numPr>
              <w:spacing w:after="120"/>
              <w:outlineLvl w:val="0"/>
              <w:rPr>
                <w:b w:val="0"/>
                <w:bCs/>
                <w:i w:val="0"/>
                <w:sz w:val="20"/>
              </w:rPr>
            </w:pPr>
            <w:r w:rsidRPr="00E93C8D">
              <w:rPr>
                <w:bCs/>
                <w:i w:val="0"/>
                <w:sz w:val="20"/>
              </w:rPr>
              <w:t>(b) Responsibilities of Deloitte</w:t>
            </w:r>
          </w:p>
        </w:tc>
        <w:tc>
          <w:tcPr>
            <w:tcW w:w="4820" w:type="dxa"/>
            <w:gridSpan w:val="2"/>
          </w:tcPr>
          <w:p w:rsidR="00802AFE" w:rsidRPr="00E93C8D" w:rsidRDefault="00802AFE" w:rsidP="00802AFE">
            <w:pPr>
              <w:pStyle w:val="1"/>
              <w:keepNext w:val="0"/>
              <w:widowControl w:val="0"/>
              <w:numPr>
                <w:ilvl w:val="0"/>
                <w:numId w:val="0"/>
              </w:numPr>
              <w:spacing w:after="120"/>
              <w:outlineLvl w:val="0"/>
              <w:rPr>
                <w:b w:val="0"/>
                <w:bCs/>
                <w:i w:val="0"/>
                <w:sz w:val="20"/>
                <w:lang w:val="ru-RU"/>
              </w:rPr>
            </w:pPr>
            <w:r w:rsidRPr="00E93C8D">
              <w:rPr>
                <w:bCs/>
                <w:i w:val="0"/>
                <w:sz w:val="20"/>
              </w:rPr>
              <w:t xml:space="preserve">(b) </w:t>
            </w:r>
            <w:r w:rsidRPr="00E93C8D">
              <w:rPr>
                <w:bCs/>
                <w:i w:val="0"/>
                <w:sz w:val="20"/>
                <w:lang w:val="ru-RU"/>
              </w:rPr>
              <w:t>Обязанности Делойт</w:t>
            </w:r>
          </w:p>
        </w:tc>
      </w:tr>
      <w:tr w:rsidR="00E93C8D" w:rsidRPr="00E94258" w:rsidTr="009576BA">
        <w:trPr>
          <w:gridAfter w:val="1"/>
          <w:wAfter w:w="392" w:type="dxa"/>
        </w:trPr>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rPr>
            </w:pPr>
            <w:r w:rsidRPr="00E93C8D">
              <w:rPr>
                <w:b w:val="0"/>
                <w:i w:val="0"/>
                <w:sz w:val="20"/>
              </w:rPr>
              <w:t xml:space="preserve">(i) The Services provided are not binding on tax or other governmental or regulatory authorities or the courts and do not constitute a representation, warranty, or guarantee that the tax or other governmental or regulatory authorities or the courts will concur with any Advice.  Any Services provided by or on behalf of Deloitte will be based upon the law, regulations, cases, rulings, and other tax authority in effect at the time the specific Services are provided.  Subsequent changes in or to the foregoing (for which Deloitte shall have no responsibility to advise the Client) may result in the Services provided by or on behalf of Deloitte being </w:t>
            </w:r>
            <w:r w:rsidRPr="00E93C8D">
              <w:rPr>
                <w:b w:val="0"/>
                <w:i w:val="0"/>
                <w:sz w:val="20"/>
              </w:rPr>
              <w:lastRenderedPageBreak/>
              <w:t>rendered, invalid.</w:t>
            </w:r>
          </w:p>
        </w:tc>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lang w:val="ru-RU"/>
              </w:rPr>
            </w:pPr>
            <w:r w:rsidRPr="00E93C8D">
              <w:rPr>
                <w:b w:val="0"/>
                <w:i w:val="0"/>
                <w:sz w:val="20"/>
                <w:lang w:val="ru-RU"/>
              </w:rPr>
              <w:lastRenderedPageBreak/>
              <w:t>(</w:t>
            </w:r>
            <w:r w:rsidRPr="00E93C8D">
              <w:rPr>
                <w:b w:val="0"/>
                <w:i w:val="0"/>
                <w:sz w:val="20"/>
              </w:rPr>
              <w:t>i</w:t>
            </w:r>
            <w:r w:rsidRPr="00E93C8D">
              <w:rPr>
                <w:b w:val="0"/>
                <w:i w:val="0"/>
                <w:sz w:val="20"/>
                <w:lang w:val="ru-RU"/>
              </w:rPr>
              <w:t xml:space="preserve">) Оказываемые Услуги не имеют обязательной силы для налоговых или иных государственных органов, или судов и не являются заверением или гарантией того, что налоговые или иные государственные органы, или суды согласятся с Рекомендациями. Все оказываемые Делойт или от имени Делойт Услуги будут основываться на положениях законодательства, нормативно-правовых актов, судебных решениях и судебной практике, а также на иных разъяснениях по налоговым и юридическим вопросам, действительным на момент оказания Услуг. Любые последующие изменения </w:t>
            </w:r>
            <w:r w:rsidRPr="00E93C8D">
              <w:rPr>
                <w:b w:val="0"/>
                <w:i w:val="0"/>
                <w:sz w:val="20"/>
                <w:lang w:val="ru-RU"/>
              </w:rPr>
              <w:lastRenderedPageBreak/>
              <w:t>вышеперечисленных источников (о которых Делойт не обязан уведомлять Клиента) могут привести к тому, что оказанные Делойт или от имени Делойт Услуги утратят силу.</w:t>
            </w:r>
          </w:p>
        </w:tc>
      </w:tr>
      <w:tr w:rsidR="00E93C8D" w:rsidRPr="00E94258" w:rsidTr="009576BA">
        <w:trPr>
          <w:gridAfter w:val="1"/>
          <w:wAfter w:w="392" w:type="dxa"/>
        </w:trPr>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rPr>
            </w:pPr>
            <w:r w:rsidRPr="00E93C8D">
              <w:rPr>
                <w:b w:val="0"/>
                <w:i w:val="0"/>
                <w:sz w:val="20"/>
              </w:rPr>
              <w:lastRenderedPageBreak/>
              <w:t>(ii) Except as specifically agreed to in writing, Deloitte shall not provide Advice regarding financial accounting treatment of any transaction implemented based on the result of the Services and will not assume any responsibility for any financial reporting with respect to the Services. Deloitte shall have no responsibility to address any legal matters or questions of law, other than tax law in relation to the Services or as set out in the Engagement Letter.</w:t>
            </w:r>
          </w:p>
        </w:tc>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ii</w:t>
            </w:r>
            <w:r w:rsidRPr="00E93C8D">
              <w:rPr>
                <w:b w:val="0"/>
                <w:i w:val="0"/>
                <w:sz w:val="20"/>
                <w:lang w:val="ru-RU"/>
              </w:rPr>
              <w:t>) За исключением случаев, когда стороны отдельно согласуют иное в письменном виде, Делойт не дает консультаций относительно порядка отражения в учете каких-либо операций, осуществленных на основании Услуг, и не несет ответственность за финансовую отчетность, связанную с Услугами. Делойт не несет какой-либо ответственности по каким бы то ни было юридическим вопросам или вопросам права, которые не являются предметом оказываемых Делойт Услуг, а также по юридическим вопросам или вопросам права, которые не связаны с налоговым законодательством относительно Услуг, если иное не предусмотрено Соглашением.</w:t>
            </w:r>
          </w:p>
        </w:tc>
      </w:tr>
      <w:tr w:rsidR="00E93C8D" w:rsidRPr="009576BA" w:rsidTr="009576BA">
        <w:trPr>
          <w:gridAfter w:val="1"/>
          <w:wAfter w:w="392" w:type="dxa"/>
        </w:trPr>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rPr>
            </w:pPr>
            <w:r w:rsidRPr="00E93C8D">
              <w:rPr>
                <w:b w:val="0"/>
                <w:i w:val="0"/>
                <w:sz w:val="20"/>
              </w:rPr>
              <w:t>(iii) In formulating any Advice as part of the Services, Deloitte may discuss ideas with the Client orally or show the Client drafts of such Advice. To the extent that the content of drafts or oral Advice are expected to be finalised and confirmed to the Client in writing, such confirmed Advice shall supersede any previous drafts or oral Advice, Deloitte shall not be responsible if the Client or others choose to rely on, act or refrain from acting on the basis of any drafts or oral Advice.</w:t>
            </w:r>
          </w:p>
        </w:tc>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lang w:val="ru-RU"/>
              </w:rPr>
            </w:pPr>
            <w:r w:rsidRPr="00E93C8D">
              <w:rPr>
                <w:b w:val="0"/>
                <w:i w:val="0"/>
                <w:sz w:val="20"/>
                <w:lang w:val="ru-RU"/>
              </w:rPr>
              <w:t>(iii) При подготовке любых Рекомендаций в рамках оказания Услуг, Делойт вправе обсуждать свое мнение с Клиентом устно или показывать Клиенту черновые варианты своих Рекомендаций. В той мере, в какой содержание черновых вариантов или устных рекомендаций подлежит приведению в итоговый вид и предоставлению Клиенту в письменном виде, такие приведенные в итоговый вид Рекомендации имеют приоритет над предыдущими черновыми вариантами или устными Рекомендациями. Делойт не несет ответственности в случаях, когда Клиент или иные лица полагаются на любые черновые варианты или устные Рекомендации при осуществлении или отказе от осуществления каких-либо действий.</w:t>
            </w:r>
          </w:p>
        </w:tc>
      </w:tr>
      <w:tr w:rsidR="00E93C8D" w:rsidRPr="00E93C8D" w:rsidTr="009576BA">
        <w:trPr>
          <w:gridAfter w:val="1"/>
          <w:wAfter w:w="392" w:type="dxa"/>
        </w:trPr>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rPr>
            </w:pPr>
            <w:r w:rsidRPr="00E93C8D">
              <w:rPr>
                <w:i w:val="0"/>
                <w:sz w:val="20"/>
                <w:lang w:val="ru-RU"/>
              </w:rPr>
              <w:t xml:space="preserve">3. </w:t>
            </w:r>
            <w:r w:rsidRPr="00E93C8D">
              <w:rPr>
                <w:i w:val="0"/>
                <w:sz w:val="20"/>
              </w:rPr>
              <w:t xml:space="preserve">Payment of Invoices </w:t>
            </w:r>
          </w:p>
        </w:tc>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rPr>
            </w:pPr>
            <w:r w:rsidRPr="00E93C8D">
              <w:rPr>
                <w:i w:val="0"/>
                <w:sz w:val="20"/>
              </w:rPr>
              <w:t>3. Оплата счетов</w:t>
            </w:r>
          </w:p>
        </w:tc>
      </w:tr>
      <w:tr w:rsidR="00E93C8D" w:rsidRPr="009576BA" w:rsidTr="009576BA">
        <w:trPr>
          <w:gridAfter w:val="1"/>
          <w:wAfter w:w="392" w:type="dxa"/>
        </w:trPr>
        <w:tc>
          <w:tcPr>
            <w:tcW w:w="4820" w:type="dxa"/>
            <w:gridSpan w:val="2"/>
          </w:tcPr>
          <w:p w:rsidR="00802AFE" w:rsidRPr="00E93C8D" w:rsidRDefault="00802AFE" w:rsidP="003A73D7">
            <w:pPr>
              <w:pStyle w:val="1"/>
              <w:keepNext w:val="0"/>
              <w:widowControl w:val="0"/>
              <w:numPr>
                <w:ilvl w:val="0"/>
                <w:numId w:val="0"/>
              </w:numPr>
              <w:spacing w:after="120"/>
              <w:outlineLvl w:val="0"/>
              <w:rPr>
                <w:b w:val="0"/>
                <w:i w:val="0"/>
                <w:sz w:val="20"/>
              </w:rPr>
            </w:pPr>
            <w:r w:rsidRPr="00E93C8D">
              <w:rPr>
                <w:b w:val="0"/>
                <w:i w:val="0"/>
                <w:sz w:val="20"/>
              </w:rPr>
              <w:t>(a) Deloitte’s invoices are due and payable by the Client upon presentation. If payment of an invoice is not received within 30 days of the invoice date (“Due Date”), Deloitte reserves the right to charge interest calculated based on the interest rate of the Central Bank of the Russian Federation for each day of delay in payment. Without limiting its other rights or remedies, Deloitte shall have the right to suspend or terminate the Services entirely or in part if payment is not received by the Due Date. If any portion of an invoice is disputed, the Client shall notify Deloitte within 5 business days of receipt of the disputed invoice and pay the undisputed portion of that invoice by the Due Date.</w:t>
            </w:r>
          </w:p>
        </w:tc>
        <w:tc>
          <w:tcPr>
            <w:tcW w:w="4820" w:type="dxa"/>
            <w:gridSpan w:val="2"/>
          </w:tcPr>
          <w:p w:rsidR="00802AFE" w:rsidRPr="00E93C8D" w:rsidRDefault="00802AFE" w:rsidP="003A73D7">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a</w:t>
            </w:r>
            <w:r w:rsidRPr="00E93C8D">
              <w:rPr>
                <w:b w:val="0"/>
                <w:i w:val="0"/>
                <w:sz w:val="20"/>
                <w:lang w:val="ru-RU"/>
              </w:rPr>
              <w:t>) Выставляемые Делойт счета оплачиваются Клиентом по получении. Если оплата по счету не будет получена в течение тридцати (30) календарных дней после их получения Клиентом («Дата оплаты»), Делойт оставляет за собой право начислить проценты за пользование чужими денежными средствами исходя из ставки рефинансирования Центрального Банка РФ за каждый день просрочки. Без какого-либо ограничения любых других прав Делойт и средств правовой защиты, Делойт вправе приостановить или прекратить, полностью или частично, оказание Услуг в случае неполучения платежа в течение 30 (тридцати) дней с Даты оплаты. Если часть суммы по счеты является предметом спора, Клиент обязан уведомить Делойт в течение пяти (5) рабочих дней с момента получения такого счета и уплатить сумму, которая не является предметом спора, до Даты оплаты.</w:t>
            </w:r>
          </w:p>
        </w:tc>
      </w:tr>
      <w:tr w:rsidR="00E93C8D" w:rsidRPr="009576BA" w:rsidTr="009576BA">
        <w:trPr>
          <w:gridAfter w:val="1"/>
          <w:wAfter w:w="392" w:type="dxa"/>
        </w:trPr>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rPr>
            </w:pPr>
            <w:r w:rsidRPr="00E93C8D">
              <w:rPr>
                <w:b w:val="0"/>
                <w:i w:val="0"/>
                <w:sz w:val="20"/>
              </w:rPr>
              <w:t>(b) Out-of-pocket expenses (“Out-Of-Pocket Expenses”) represent:</w:t>
            </w:r>
          </w:p>
        </w:tc>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b</w:t>
            </w:r>
            <w:r w:rsidRPr="00E93C8D">
              <w:rPr>
                <w:b w:val="0"/>
                <w:i w:val="0"/>
                <w:sz w:val="20"/>
                <w:lang w:val="ru-RU"/>
              </w:rPr>
              <w:t>) Дополнительные расходы («Дополнительные расходы») представляют собой расходы:</w:t>
            </w:r>
          </w:p>
        </w:tc>
      </w:tr>
      <w:tr w:rsidR="00E93C8D" w:rsidRPr="00E94258" w:rsidTr="009576BA">
        <w:trPr>
          <w:gridAfter w:val="1"/>
          <w:wAfter w:w="392" w:type="dxa"/>
        </w:trPr>
        <w:tc>
          <w:tcPr>
            <w:tcW w:w="4820" w:type="dxa"/>
            <w:gridSpan w:val="2"/>
          </w:tcPr>
          <w:p w:rsidR="00802AFE" w:rsidRPr="00E93C8D" w:rsidRDefault="00802AFE" w:rsidP="00FE3F56">
            <w:pPr>
              <w:pStyle w:val="1"/>
              <w:keepNext w:val="0"/>
              <w:widowControl w:val="0"/>
              <w:numPr>
                <w:ilvl w:val="0"/>
                <w:numId w:val="5"/>
              </w:numPr>
              <w:spacing w:after="120"/>
              <w:ind w:left="0" w:firstLine="0"/>
              <w:outlineLvl w:val="0"/>
              <w:rPr>
                <w:b w:val="0"/>
                <w:i w:val="0"/>
                <w:sz w:val="20"/>
              </w:rPr>
            </w:pPr>
            <w:r w:rsidRPr="00E93C8D">
              <w:rPr>
                <w:b w:val="0"/>
                <w:i w:val="0"/>
                <w:sz w:val="20"/>
              </w:rPr>
              <w:t>actual expenses incurred by Deloitte</w:t>
            </w:r>
            <w:r w:rsidR="00C20609" w:rsidRPr="00E93C8D">
              <w:rPr>
                <w:b w:val="0"/>
                <w:i w:val="0"/>
                <w:sz w:val="20"/>
              </w:rPr>
              <w:t xml:space="preserve">’s and/or RCSL’s </w:t>
            </w:r>
            <w:r w:rsidR="00FE3F56" w:rsidRPr="00E93C8D">
              <w:rPr>
                <w:b w:val="0"/>
                <w:i w:val="0"/>
                <w:sz w:val="20"/>
              </w:rPr>
              <w:t xml:space="preserve"> </w:t>
            </w:r>
            <w:r w:rsidRPr="00E93C8D">
              <w:rPr>
                <w:b w:val="0"/>
                <w:i w:val="0"/>
                <w:sz w:val="20"/>
              </w:rPr>
              <w:t xml:space="preserve">employees while traveling outside </w:t>
            </w:r>
            <w:r w:rsidR="004806AD" w:rsidRPr="00E93C8D">
              <w:rPr>
                <w:b w:val="0"/>
                <w:i w:val="0"/>
                <w:sz w:val="20"/>
              </w:rPr>
              <w:t>Moscow</w:t>
            </w:r>
            <w:r w:rsidRPr="00E93C8D">
              <w:rPr>
                <w:b w:val="0"/>
                <w:i w:val="0"/>
                <w:sz w:val="20"/>
              </w:rPr>
              <w:t xml:space="preserve"> and include, but not limited to: intercity travel (rail and airfare), transportation to and from airports and railway stations (including taxi), hotel accommodation, and additional per diem expenses equivalent to RUB 792 (seven hundred ninety-two) per day per each Deloitte specialist for the whole duration of the business trip.</w:t>
            </w:r>
          </w:p>
        </w:tc>
        <w:tc>
          <w:tcPr>
            <w:tcW w:w="4820" w:type="dxa"/>
            <w:gridSpan w:val="2"/>
          </w:tcPr>
          <w:p w:rsidR="00802AFE" w:rsidRPr="00E93C8D" w:rsidRDefault="00802AFE" w:rsidP="00FE3F56">
            <w:pPr>
              <w:pStyle w:val="1"/>
              <w:keepNext w:val="0"/>
              <w:widowControl w:val="0"/>
              <w:numPr>
                <w:ilvl w:val="0"/>
                <w:numId w:val="5"/>
              </w:numPr>
              <w:spacing w:after="120"/>
              <w:ind w:left="0" w:firstLine="0"/>
              <w:outlineLvl w:val="0"/>
              <w:rPr>
                <w:b w:val="0"/>
                <w:i w:val="0"/>
                <w:sz w:val="20"/>
                <w:lang w:val="ru-RU"/>
              </w:rPr>
            </w:pPr>
            <w:r w:rsidRPr="00E93C8D">
              <w:rPr>
                <w:b w:val="0"/>
                <w:i w:val="0"/>
                <w:sz w:val="20"/>
                <w:lang w:val="ru-RU"/>
              </w:rPr>
              <w:t xml:space="preserve">понесенные работниками Делойт </w:t>
            </w:r>
            <w:r w:rsidR="00C20609" w:rsidRPr="00E93C8D">
              <w:rPr>
                <w:b w:val="0"/>
                <w:i w:val="0"/>
                <w:sz w:val="20"/>
                <w:lang w:val="ru-RU"/>
              </w:rPr>
              <w:t xml:space="preserve">и/или РКСЛ </w:t>
            </w:r>
            <w:r w:rsidR="00FE3F56" w:rsidRPr="00E93C8D">
              <w:rPr>
                <w:b w:val="0"/>
                <w:i w:val="0"/>
                <w:sz w:val="20"/>
                <w:lang w:val="ru-RU"/>
              </w:rPr>
              <w:t xml:space="preserve"> </w:t>
            </w:r>
            <w:r w:rsidRPr="00E93C8D">
              <w:rPr>
                <w:b w:val="0"/>
                <w:i w:val="0"/>
                <w:sz w:val="20"/>
                <w:lang w:val="ru-RU"/>
              </w:rPr>
              <w:t xml:space="preserve">во время командировок за пределы </w:t>
            </w:r>
            <w:r w:rsidR="00670A31" w:rsidRPr="00E93C8D">
              <w:rPr>
                <w:b w:val="0"/>
                <w:i w:val="0"/>
                <w:sz w:val="20"/>
                <w:lang w:val="ru-RU"/>
              </w:rPr>
              <w:t>г. Москвы</w:t>
            </w:r>
            <w:r w:rsidRPr="00E93C8D">
              <w:rPr>
                <w:b w:val="0"/>
                <w:i w:val="0"/>
                <w:sz w:val="20"/>
                <w:lang w:val="ru-RU"/>
              </w:rPr>
              <w:t>, и включают в себя, в частности: расходы на междугородние переезды (железнодорожным транспортом или авиатранспортом), расходы на транспорт от и до аэропортов и вокзалов (в том числе такси), расходы на проживание, расходы в размере 792 (сем</w:t>
            </w:r>
            <w:r w:rsidR="00CF0271" w:rsidRPr="00E93C8D">
              <w:rPr>
                <w:b w:val="0"/>
                <w:i w:val="0"/>
                <w:sz w:val="20"/>
                <w:lang w:val="ru-RU"/>
              </w:rPr>
              <w:t>и</w:t>
            </w:r>
            <w:r w:rsidRPr="00E93C8D">
              <w:rPr>
                <w:b w:val="0"/>
                <w:i w:val="0"/>
                <w:sz w:val="20"/>
                <w:lang w:val="ru-RU"/>
              </w:rPr>
              <w:t>сот девяност</w:t>
            </w:r>
            <w:r w:rsidR="00D42C4B" w:rsidRPr="00E93C8D">
              <w:rPr>
                <w:b w:val="0"/>
                <w:i w:val="0"/>
                <w:sz w:val="20"/>
                <w:lang w:val="ru-RU"/>
              </w:rPr>
              <w:t>а</w:t>
            </w:r>
            <w:r w:rsidRPr="00E93C8D">
              <w:rPr>
                <w:b w:val="0"/>
                <w:i w:val="0"/>
                <w:sz w:val="20"/>
                <w:lang w:val="ru-RU"/>
              </w:rPr>
              <w:t xml:space="preserve"> дв</w:t>
            </w:r>
            <w:r w:rsidR="00F44487" w:rsidRPr="00E93C8D">
              <w:rPr>
                <w:b w:val="0"/>
                <w:i w:val="0"/>
                <w:sz w:val="20"/>
                <w:lang w:val="ru-RU"/>
              </w:rPr>
              <w:t>ух</w:t>
            </w:r>
            <w:r w:rsidRPr="00E93C8D">
              <w:rPr>
                <w:b w:val="0"/>
                <w:i w:val="0"/>
                <w:sz w:val="20"/>
                <w:lang w:val="ru-RU"/>
              </w:rPr>
              <w:t>) рубл</w:t>
            </w:r>
            <w:r w:rsidR="00F44487" w:rsidRPr="00E93C8D">
              <w:rPr>
                <w:b w:val="0"/>
                <w:i w:val="0"/>
                <w:sz w:val="20"/>
                <w:lang w:val="ru-RU"/>
              </w:rPr>
              <w:t>ей</w:t>
            </w:r>
            <w:r w:rsidRPr="00E93C8D">
              <w:rPr>
                <w:b w:val="0"/>
                <w:i w:val="0"/>
                <w:sz w:val="20"/>
                <w:lang w:val="ru-RU"/>
              </w:rPr>
              <w:t xml:space="preserve"> в день на каждого работника Делойт в течение всего срока </w:t>
            </w:r>
            <w:r w:rsidRPr="00E93C8D">
              <w:rPr>
                <w:b w:val="0"/>
                <w:i w:val="0"/>
                <w:sz w:val="20"/>
                <w:lang w:val="ru-RU"/>
              </w:rPr>
              <w:lastRenderedPageBreak/>
              <w:t>командировки.</w:t>
            </w:r>
          </w:p>
        </w:tc>
      </w:tr>
      <w:tr w:rsidR="00E93C8D" w:rsidRPr="00E94258" w:rsidTr="009576BA">
        <w:trPr>
          <w:gridAfter w:val="1"/>
          <w:wAfter w:w="392" w:type="dxa"/>
        </w:trPr>
        <w:tc>
          <w:tcPr>
            <w:tcW w:w="4820" w:type="dxa"/>
            <w:gridSpan w:val="2"/>
          </w:tcPr>
          <w:p w:rsidR="00802AFE" w:rsidRPr="00E93C8D" w:rsidRDefault="00802AFE" w:rsidP="00802AFE">
            <w:pPr>
              <w:pStyle w:val="1"/>
              <w:keepNext w:val="0"/>
              <w:widowControl w:val="0"/>
              <w:numPr>
                <w:ilvl w:val="0"/>
                <w:numId w:val="5"/>
              </w:numPr>
              <w:spacing w:after="120"/>
              <w:ind w:left="0" w:firstLine="0"/>
              <w:outlineLvl w:val="0"/>
              <w:rPr>
                <w:b w:val="0"/>
                <w:i w:val="0"/>
                <w:sz w:val="20"/>
              </w:rPr>
            </w:pPr>
            <w:r w:rsidRPr="00E93C8D">
              <w:rPr>
                <w:b w:val="0"/>
                <w:i w:val="0"/>
                <w:sz w:val="20"/>
              </w:rPr>
              <w:lastRenderedPageBreak/>
              <w:t xml:space="preserve">expenses incurred by Deloitte when Services in </w:t>
            </w:r>
            <w:r w:rsidR="0092458B" w:rsidRPr="00E93C8D">
              <w:rPr>
                <w:b w:val="0"/>
                <w:i w:val="0"/>
                <w:sz w:val="20"/>
              </w:rPr>
              <w:t>Moscow</w:t>
            </w:r>
            <w:r w:rsidRPr="00E93C8D">
              <w:rPr>
                <w:b w:val="0"/>
                <w:i w:val="0"/>
                <w:sz w:val="20"/>
              </w:rPr>
              <w:t xml:space="preserve"> are performed by personnel from Deloitte offices and/or third parties located in other cities. Expenses include but not limited to: intercity and international travel (rail and airfare), transportation to and from airports and railway stations, hotel accommodation, and also additional expenses in the amount agreed by parties in letters, including emails, or in any Addendum to this Engagement letter.</w:t>
            </w:r>
          </w:p>
        </w:tc>
        <w:tc>
          <w:tcPr>
            <w:tcW w:w="4820" w:type="dxa"/>
            <w:gridSpan w:val="2"/>
          </w:tcPr>
          <w:p w:rsidR="00802AFE" w:rsidRPr="00E93C8D" w:rsidRDefault="00802AFE" w:rsidP="00343D67">
            <w:pPr>
              <w:pStyle w:val="1"/>
              <w:keepNext w:val="0"/>
              <w:widowControl w:val="0"/>
              <w:numPr>
                <w:ilvl w:val="0"/>
                <w:numId w:val="5"/>
              </w:numPr>
              <w:spacing w:after="120"/>
              <w:ind w:left="0" w:firstLine="0"/>
              <w:outlineLvl w:val="0"/>
              <w:rPr>
                <w:b w:val="0"/>
                <w:i w:val="0"/>
                <w:sz w:val="20"/>
                <w:lang w:val="ru-RU"/>
              </w:rPr>
            </w:pPr>
            <w:r w:rsidRPr="00E93C8D">
              <w:rPr>
                <w:b w:val="0"/>
                <w:i w:val="0"/>
                <w:sz w:val="20"/>
                <w:lang w:val="ru-RU"/>
              </w:rPr>
              <w:t xml:space="preserve">понесенные Делойт для привлечения работников других офисов Делойт и/или третьих лиц для оказания Услуг по настоящему Соглашению в </w:t>
            </w:r>
            <w:r w:rsidR="00343D67" w:rsidRPr="00E93C8D">
              <w:rPr>
                <w:b w:val="0"/>
                <w:i w:val="0"/>
                <w:sz w:val="20"/>
                <w:lang w:val="ru-RU"/>
              </w:rPr>
              <w:t>г. Москве</w:t>
            </w:r>
            <w:r w:rsidRPr="00E93C8D">
              <w:rPr>
                <w:b w:val="0"/>
                <w:i w:val="0"/>
                <w:sz w:val="20"/>
                <w:lang w:val="ru-RU"/>
              </w:rPr>
              <w:t>. Расходы включают в себя, в частности: расходы на междугородние/международные переезды (железнодорожным транспортом или авиатранспортом), расходы на транспорт до и от аэропортов и вокзалов, расходы на размещение в гостинице, а также дополнительные расходы, размер которых будет согласован сторонами путем обмена письмами, включая электронную переписку, или подписанием дополнительного соглашения к настоящему Соглашению.</w:t>
            </w:r>
          </w:p>
        </w:tc>
      </w:tr>
      <w:tr w:rsidR="00E93C8D" w:rsidRPr="009576BA" w:rsidTr="009576BA">
        <w:trPr>
          <w:gridAfter w:val="1"/>
          <w:wAfter w:w="392" w:type="dxa"/>
        </w:trPr>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rPr>
            </w:pPr>
            <w:r w:rsidRPr="00E93C8D">
              <w:rPr>
                <w:b w:val="0"/>
                <w:i w:val="0"/>
                <w:sz w:val="20"/>
              </w:rPr>
              <w:t>Calculation of out-of-pocket expenses incurred in the currency other than the currency of the Engagement Letter shall be made at the official exchange rate of Central Bank of Russian Federation on the date of the invoice issuance.</w:t>
            </w:r>
          </w:p>
        </w:tc>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lang w:val="ru-RU"/>
              </w:rPr>
            </w:pPr>
            <w:r w:rsidRPr="00E93C8D">
              <w:rPr>
                <w:b w:val="0"/>
                <w:i w:val="0"/>
                <w:sz w:val="20"/>
                <w:lang w:val="ru-RU"/>
              </w:rPr>
              <w:t>Расчет дополнительных расходов, понесенных в валюте, отличной от валюты Соглашения, осуществляется по курсу Центрального Банка Российской Федерации на день выставления счета.</w:t>
            </w:r>
          </w:p>
        </w:tc>
      </w:tr>
      <w:tr w:rsidR="00E93C8D" w:rsidRPr="009576BA" w:rsidTr="009576BA">
        <w:trPr>
          <w:gridAfter w:val="1"/>
          <w:wAfter w:w="392" w:type="dxa"/>
        </w:trPr>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rPr>
            </w:pPr>
            <w:r w:rsidRPr="00E93C8D">
              <w:rPr>
                <w:b w:val="0"/>
                <w:i w:val="0"/>
                <w:sz w:val="20"/>
              </w:rPr>
              <w:t xml:space="preserve">(c) The Client reimburses Deloitte its overhead expenses (“Overheads”) in the amount of 6 (six) percent of Deloitte Professional Fee. For the purposes of these Standard Tax Terms Overheads include local transportation, telecommunication and mailing expenses, secretarial and translation support, as well as other administrative expenses related to providing Services hereunder.  </w:t>
            </w:r>
          </w:p>
        </w:tc>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c</w:t>
            </w:r>
            <w:r w:rsidRPr="00E93C8D">
              <w:rPr>
                <w:b w:val="0"/>
                <w:i w:val="0"/>
                <w:sz w:val="20"/>
                <w:lang w:val="ru-RU"/>
              </w:rPr>
              <w:t>) Клиент оплачивает</w:t>
            </w:r>
            <w:r w:rsidRPr="00E93C8D">
              <w:rPr>
                <w:sz w:val="20"/>
                <w:lang w:val="ru-RU"/>
              </w:rPr>
              <w:t xml:space="preserve"> </w:t>
            </w:r>
            <w:r w:rsidRPr="00E93C8D">
              <w:rPr>
                <w:b w:val="0"/>
                <w:i w:val="0"/>
                <w:sz w:val="20"/>
                <w:lang w:val="ru-RU"/>
              </w:rPr>
              <w:t>Накладные расходы («Накладные расходы») Делойт в размере 6% (шесть процентов) от Суммы Вознаграждения Делойт за Услуги. Под Накладными расходами для целей настоящего Соглашения понимаются транспортные расходы на местах, расходы Делойт на оплату услуг связи и почты, секретарские услуги и услуги переводчиков, а также другие расходы, связанные с исполнением обязательств по настоящему Соглашению.</w:t>
            </w:r>
          </w:p>
        </w:tc>
      </w:tr>
      <w:tr w:rsidR="00E93C8D" w:rsidRPr="009576BA" w:rsidTr="009576BA">
        <w:trPr>
          <w:gridAfter w:val="1"/>
          <w:wAfter w:w="392" w:type="dxa"/>
        </w:trPr>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rPr>
            </w:pPr>
            <w:r w:rsidRPr="00E93C8D">
              <w:rPr>
                <w:b w:val="0"/>
                <w:i w:val="0"/>
                <w:sz w:val="20"/>
              </w:rPr>
              <w:t>(d) Deloitte is not obliged to provide documents confirming its Overheads and Out-of-Pocket expenses to the Client.</w:t>
            </w:r>
          </w:p>
        </w:tc>
        <w:tc>
          <w:tcPr>
            <w:tcW w:w="4820" w:type="dxa"/>
            <w:gridSpan w:val="2"/>
          </w:tcPr>
          <w:p w:rsidR="00802AFE" w:rsidRPr="00E93C8D" w:rsidRDefault="00802AFE" w:rsidP="00802AF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d</w:t>
            </w:r>
            <w:r w:rsidRPr="00E93C8D">
              <w:rPr>
                <w:b w:val="0"/>
                <w:i w:val="0"/>
                <w:sz w:val="20"/>
                <w:lang w:val="ru-RU"/>
              </w:rPr>
              <w:t>) Делойт не несет обязательств по предоставлению Клиенту документов в подтверждение понесенных Накладных и Дополнительных расходов.</w:t>
            </w:r>
          </w:p>
        </w:tc>
      </w:tr>
      <w:tr w:rsidR="00E93C8D" w:rsidRPr="00E93C8D" w:rsidTr="009576BA">
        <w:trPr>
          <w:gridAfter w:val="1"/>
          <w:wAfter w:w="392" w:type="dxa"/>
        </w:trPr>
        <w:tc>
          <w:tcPr>
            <w:tcW w:w="4820" w:type="dxa"/>
            <w:gridSpan w:val="2"/>
          </w:tcPr>
          <w:p w:rsidR="00EF13C6" w:rsidRPr="00E93C8D" w:rsidRDefault="00BB3895" w:rsidP="00C877EB">
            <w:pPr>
              <w:pStyle w:val="1"/>
              <w:keepNext w:val="0"/>
              <w:widowControl w:val="0"/>
              <w:numPr>
                <w:ilvl w:val="0"/>
                <w:numId w:val="0"/>
              </w:numPr>
              <w:spacing w:after="120"/>
              <w:outlineLvl w:val="0"/>
              <w:rPr>
                <w:b w:val="0"/>
                <w:i w:val="0"/>
                <w:sz w:val="20"/>
              </w:rPr>
            </w:pPr>
            <w:r w:rsidRPr="00E93C8D">
              <w:rPr>
                <w:b w:val="0"/>
                <w:i w:val="0"/>
                <w:sz w:val="20"/>
              </w:rPr>
              <w:t>(e)</w:t>
            </w:r>
            <w:r w:rsidR="00E92AEF" w:rsidRPr="00E93C8D">
              <w:rPr>
                <w:b w:val="0"/>
                <w:i w:val="0"/>
                <w:sz w:val="20"/>
              </w:rPr>
              <w:t xml:space="preserve"> If on the date of issuance of invoice the official exchange rate of the Central Bank of the Russian Federation of </w:t>
            </w:r>
            <w:r w:rsidR="00D2495F" w:rsidRPr="00E93C8D">
              <w:rPr>
                <w:b w:val="0"/>
                <w:i w:val="0"/>
                <w:sz w:val="20"/>
              </w:rPr>
              <w:t>USD</w:t>
            </w:r>
            <w:r w:rsidR="00E92AEF" w:rsidRPr="00E93C8D">
              <w:rPr>
                <w:b w:val="0"/>
                <w:i w:val="0"/>
                <w:sz w:val="20"/>
              </w:rPr>
              <w:t xml:space="preserve"> to </w:t>
            </w:r>
            <w:r w:rsidR="00D2495F" w:rsidRPr="00E93C8D">
              <w:rPr>
                <w:b w:val="0"/>
                <w:i w:val="0"/>
                <w:sz w:val="20"/>
              </w:rPr>
              <w:t>RUB</w:t>
            </w:r>
            <w:r w:rsidR="00E92AEF" w:rsidRPr="00E93C8D">
              <w:rPr>
                <w:b w:val="0"/>
                <w:i w:val="0"/>
                <w:sz w:val="20"/>
              </w:rPr>
              <w:t xml:space="preserve"> increases by 5% or more as compared with the official exchange rate of the Central Bank of the Russian Federation of USD to </w:t>
            </w:r>
            <w:r w:rsidR="00D2495F" w:rsidRPr="00E93C8D">
              <w:rPr>
                <w:b w:val="0"/>
                <w:i w:val="0"/>
                <w:sz w:val="20"/>
              </w:rPr>
              <w:t>RUB</w:t>
            </w:r>
            <w:r w:rsidR="00E92AEF" w:rsidRPr="00E93C8D">
              <w:rPr>
                <w:b w:val="0"/>
                <w:i w:val="0"/>
                <w:sz w:val="20"/>
              </w:rPr>
              <w:t xml:space="preserve"> as of the date of signing </w:t>
            </w:r>
            <w:r w:rsidR="00D2495F" w:rsidRPr="00E93C8D">
              <w:rPr>
                <w:b w:val="0"/>
                <w:i w:val="0"/>
                <w:sz w:val="20"/>
              </w:rPr>
              <w:t>of the Engagement Letter or the Addendum</w:t>
            </w:r>
            <w:r w:rsidR="00E92AEF" w:rsidRPr="00E93C8D">
              <w:rPr>
                <w:b w:val="0"/>
                <w:i w:val="0"/>
                <w:sz w:val="20"/>
              </w:rPr>
              <w:t xml:space="preserve">, </w:t>
            </w:r>
            <w:r w:rsidR="00B8318F" w:rsidRPr="00E93C8D">
              <w:rPr>
                <w:b w:val="0"/>
                <w:i w:val="0"/>
                <w:sz w:val="20"/>
              </w:rPr>
              <w:t>Deloitte</w:t>
            </w:r>
            <w:r w:rsidR="00E92AEF" w:rsidRPr="00E93C8D">
              <w:rPr>
                <w:b w:val="0"/>
                <w:i w:val="0"/>
                <w:sz w:val="20"/>
              </w:rPr>
              <w:t xml:space="preserve"> </w:t>
            </w:r>
            <w:r w:rsidR="003248A3" w:rsidRPr="00E93C8D">
              <w:rPr>
                <w:b w:val="0"/>
                <w:i w:val="0"/>
                <w:sz w:val="20"/>
              </w:rPr>
              <w:t>Professional</w:t>
            </w:r>
            <w:r w:rsidR="00E92AEF" w:rsidRPr="00E93C8D">
              <w:rPr>
                <w:b w:val="0"/>
                <w:i w:val="0"/>
                <w:sz w:val="20"/>
              </w:rPr>
              <w:t xml:space="preserve"> Fees will be automatically increased pro rata the difference in the above mentioned rates</w:t>
            </w:r>
            <w:r w:rsidR="00C877EB" w:rsidRPr="00E93C8D">
              <w:rPr>
                <w:b w:val="0"/>
                <w:i w:val="0"/>
                <w:sz w:val="20"/>
              </w:rPr>
              <w:t>.</w:t>
            </w:r>
            <w:r w:rsidR="00E92AEF" w:rsidRPr="00E93C8D">
              <w:rPr>
                <w:b w:val="0"/>
                <w:i w:val="0"/>
                <w:sz w:val="20"/>
              </w:rPr>
              <w:t xml:space="preserve"> </w:t>
            </w:r>
            <w:r w:rsidR="00F21B22" w:rsidRPr="00E93C8D">
              <w:rPr>
                <w:b w:val="0"/>
                <w:i w:val="0"/>
                <w:sz w:val="20"/>
              </w:rPr>
              <w:t>Deloitte</w:t>
            </w:r>
            <w:r w:rsidR="00E92AEF" w:rsidRPr="00E93C8D">
              <w:rPr>
                <w:b w:val="0"/>
                <w:i w:val="0"/>
                <w:sz w:val="20"/>
              </w:rPr>
              <w:t xml:space="preserve"> will issue an invoice with such adjusted amount of </w:t>
            </w:r>
            <w:r w:rsidR="00F21B22" w:rsidRPr="00E93C8D">
              <w:rPr>
                <w:b w:val="0"/>
                <w:i w:val="0"/>
                <w:sz w:val="20"/>
              </w:rPr>
              <w:t>Deloitte</w:t>
            </w:r>
            <w:r w:rsidR="00E92AEF" w:rsidRPr="00E93C8D">
              <w:rPr>
                <w:b w:val="0"/>
                <w:i w:val="0"/>
                <w:sz w:val="20"/>
              </w:rPr>
              <w:t xml:space="preserve"> Professional Fees.</w:t>
            </w:r>
          </w:p>
        </w:tc>
        <w:tc>
          <w:tcPr>
            <w:tcW w:w="4820" w:type="dxa"/>
            <w:gridSpan w:val="2"/>
          </w:tcPr>
          <w:p w:rsidR="00EF13C6" w:rsidRPr="00E93C8D" w:rsidRDefault="00BB3895" w:rsidP="00C877EB">
            <w:pPr>
              <w:pStyle w:val="1"/>
              <w:keepNext w:val="0"/>
              <w:widowControl w:val="0"/>
              <w:numPr>
                <w:ilvl w:val="0"/>
                <w:numId w:val="0"/>
              </w:numPr>
              <w:spacing w:after="120"/>
              <w:outlineLvl w:val="0"/>
              <w:rPr>
                <w:b w:val="0"/>
                <w:i w:val="0"/>
                <w:sz w:val="20"/>
                <w:lang w:val="ru-RU"/>
              </w:rPr>
            </w:pPr>
            <w:r w:rsidRPr="00E93C8D">
              <w:rPr>
                <w:b w:val="0"/>
                <w:i w:val="0"/>
                <w:sz w:val="20"/>
                <w:lang w:val="ru-RU"/>
              </w:rPr>
              <w:t>(e)</w:t>
            </w:r>
            <w:r w:rsidR="00E92AEF" w:rsidRPr="00E93C8D">
              <w:rPr>
                <w:b w:val="0"/>
                <w:i w:val="0"/>
                <w:sz w:val="20"/>
                <w:lang w:val="ru-RU"/>
              </w:rPr>
              <w:t xml:space="preserve"> Если официальный курс Доллара США к российскому рублю, установленный Центральным банком Российской Федерации на дату выставления счета, увеличится на </w:t>
            </w:r>
            <w:r w:rsidR="002A1083" w:rsidRPr="00E93C8D">
              <w:rPr>
                <w:b w:val="0"/>
                <w:i w:val="0"/>
                <w:sz w:val="20"/>
                <w:lang w:val="ru-RU"/>
              </w:rPr>
              <w:t>5 (пять) процентов</w:t>
            </w:r>
            <w:r w:rsidR="00E92AEF" w:rsidRPr="00E93C8D">
              <w:rPr>
                <w:b w:val="0"/>
                <w:i w:val="0"/>
                <w:sz w:val="20"/>
                <w:lang w:val="ru-RU"/>
              </w:rPr>
              <w:t xml:space="preserve"> и более по сравнению с официальным курсом Доллара США к российскому рублю, установленным Центральным банком Российской Федерации на дату подписания </w:t>
            </w:r>
            <w:r w:rsidR="00C877EB" w:rsidRPr="00E93C8D">
              <w:rPr>
                <w:b w:val="0"/>
                <w:i w:val="0"/>
                <w:sz w:val="20"/>
                <w:lang w:val="ru-RU"/>
              </w:rPr>
              <w:t>Соглашения или Дополнительного соглашения</w:t>
            </w:r>
            <w:r w:rsidR="00E92AEF" w:rsidRPr="00E93C8D">
              <w:rPr>
                <w:b w:val="0"/>
                <w:i w:val="0"/>
                <w:sz w:val="20"/>
                <w:lang w:val="ru-RU"/>
              </w:rPr>
              <w:t xml:space="preserve">, Сумма Вознаграждения, подлежащая уплате </w:t>
            </w:r>
            <w:r w:rsidR="00F21B22" w:rsidRPr="00E93C8D">
              <w:rPr>
                <w:b w:val="0"/>
                <w:i w:val="0"/>
                <w:sz w:val="20"/>
                <w:lang w:val="ru-RU"/>
              </w:rPr>
              <w:t>Делойт</w:t>
            </w:r>
            <w:r w:rsidR="00E92AEF" w:rsidRPr="00E93C8D">
              <w:rPr>
                <w:b w:val="0"/>
                <w:i w:val="0"/>
                <w:sz w:val="20"/>
                <w:lang w:val="ru-RU"/>
              </w:rPr>
              <w:t xml:space="preserve">, будет увеличена пропорционально разнице в </w:t>
            </w:r>
            <w:r w:rsidR="00C877EB" w:rsidRPr="00E93C8D">
              <w:rPr>
                <w:b w:val="0"/>
                <w:i w:val="0"/>
                <w:sz w:val="20"/>
                <w:lang w:val="ru-RU"/>
              </w:rPr>
              <w:t>вышеуказанных</w:t>
            </w:r>
            <w:r w:rsidR="00E92AEF" w:rsidRPr="00E93C8D">
              <w:rPr>
                <w:b w:val="0"/>
                <w:i w:val="0"/>
                <w:sz w:val="20"/>
                <w:lang w:val="ru-RU"/>
              </w:rPr>
              <w:t xml:space="preserve"> курсах</w:t>
            </w:r>
            <w:r w:rsidR="00C877EB" w:rsidRPr="00E93C8D">
              <w:rPr>
                <w:b w:val="0"/>
                <w:i w:val="0"/>
                <w:sz w:val="20"/>
                <w:lang w:val="ru-RU"/>
              </w:rPr>
              <w:t>.</w:t>
            </w:r>
            <w:r w:rsidR="00E92AEF" w:rsidRPr="00E93C8D">
              <w:rPr>
                <w:b w:val="0"/>
                <w:i w:val="0"/>
                <w:sz w:val="20"/>
                <w:lang w:val="ru-RU"/>
              </w:rPr>
              <w:t xml:space="preserve"> </w:t>
            </w:r>
            <w:r w:rsidR="00B8318F" w:rsidRPr="00E93C8D">
              <w:rPr>
                <w:b w:val="0"/>
                <w:i w:val="0"/>
                <w:sz w:val="20"/>
                <w:lang w:val="ru-RU"/>
              </w:rPr>
              <w:t>Делойт</w:t>
            </w:r>
            <w:r w:rsidR="00E92AEF" w:rsidRPr="00E93C8D">
              <w:rPr>
                <w:b w:val="0"/>
                <w:i w:val="0"/>
                <w:sz w:val="20"/>
                <w:lang w:val="ru-RU"/>
              </w:rPr>
              <w:t xml:space="preserve"> выставит счет с такой увеличенной Суммой </w:t>
            </w:r>
            <w:r w:rsidR="003248A3" w:rsidRPr="00E93C8D">
              <w:rPr>
                <w:b w:val="0"/>
                <w:i w:val="0"/>
                <w:sz w:val="20"/>
                <w:lang w:val="ru-RU"/>
              </w:rPr>
              <w:t>Вознаграждения</w:t>
            </w:r>
            <w:r w:rsidR="00E92AEF" w:rsidRPr="00E93C8D">
              <w:rPr>
                <w:b w:val="0"/>
                <w:i w:val="0"/>
                <w:sz w:val="20"/>
                <w:lang w:val="ru-RU"/>
              </w:rPr>
              <w:t>.</w:t>
            </w:r>
          </w:p>
        </w:tc>
      </w:tr>
      <w:tr w:rsidR="00E93C8D" w:rsidRPr="009576BA" w:rsidTr="009576BA">
        <w:trPr>
          <w:gridAfter w:val="1"/>
          <w:wAfter w:w="392" w:type="dxa"/>
        </w:trPr>
        <w:tc>
          <w:tcPr>
            <w:tcW w:w="4820" w:type="dxa"/>
            <w:gridSpan w:val="2"/>
          </w:tcPr>
          <w:p w:rsidR="00C877EB" w:rsidRPr="00E93C8D" w:rsidRDefault="00C877EB" w:rsidP="002A1083">
            <w:pPr>
              <w:pStyle w:val="1"/>
              <w:keepNext w:val="0"/>
              <w:widowControl w:val="0"/>
              <w:numPr>
                <w:ilvl w:val="0"/>
                <w:numId w:val="0"/>
              </w:numPr>
              <w:spacing w:after="120"/>
              <w:outlineLvl w:val="0"/>
              <w:rPr>
                <w:b w:val="0"/>
                <w:i w:val="0"/>
                <w:sz w:val="20"/>
              </w:rPr>
            </w:pPr>
            <w:r w:rsidRPr="00E93C8D">
              <w:rPr>
                <w:b w:val="0"/>
                <w:i w:val="0"/>
                <w:sz w:val="20"/>
              </w:rPr>
              <w:t xml:space="preserve">If on the date of payment of invoice the official exchange rate of the Central Bank of the Russian Federation of USD to RUB increases by 5% or more as compared with the official exchange rate of the Central Bank of the Russian Federation of USD to RUB as of the date of </w:t>
            </w:r>
            <w:r w:rsidR="00E00120" w:rsidRPr="00E93C8D">
              <w:rPr>
                <w:b w:val="0"/>
                <w:i w:val="0"/>
                <w:sz w:val="20"/>
              </w:rPr>
              <w:t>delivery of the invoice</w:t>
            </w:r>
            <w:r w:rsidRPr="00E93C8D">
              <w:rPr>
                <w:b w:val="0"/>
                <w:i w:val="0"/>
                <w:sz w:val="20"/>
              </w:rPr>
              <w:t>, Deloitte Professional Fees will be automatically increased pro rata the difference in the above mentioned rates.</w:t>
            </w:r>
          </w:p>
          <w:p w:rsidR="00E92AEF" w:rsidRPr="00E93C8D" w:rsidRDefault="00B8318F" w:rsidP="002A1083">
            <w:pPr>
              <w:pStyle w:val="1"/>
              <w:keepNext w:val="0"/>
              <w:widowControl w:val="0"/>
              <w:numPr>
                <w:ilvl w:val="0"/>
                <w:numId w:val="0"/>
              </w:numPr>
              <w:spacing w:after="120"/>
              <w:outlineLvl w:val="0"/>
              <w:rPr>
                <w:b w:val="0"/>
                <w:i w:val="0"/>
                <w:sz w:val="20"/>
              </w:rPr>
            </w:pPr>
            <w:r w:rsidRPr="00E93C8D">
              <w:rPr>
                <w:b w:val="0"/>
                <w:i w:val="0"/>
                <w:sz w:val="20"/>
              </w:rPr>
              <w:t>Deloitte</w:t>
            </w:r>
            <w:r w:rsidR="00E92AEF" w:rsidRPr="00E93C8D">
              <w:rPr>
                <w:b w:val="0"/>
                <w:i w:val="0"/>
                <w:sz w:val="20"/>
              </w:rPr>
              <w:t xml:space="preserve"> shall issue the additional invoice with such added amount of </w:t>
            </w:r>
            <w:r w:rsidRPr="00E93C8D">
              <w:rPr>
                <w:b w:val="0"/>
                <w:i w:val="0"/>
                <w:sz w:val="20"/>
              </w:rPr>
              <w:t>Deloitte</w:t>
            </w:r>
            <w:r w:rsidR="00E92AEF" w:rsidRPr="00E93C8D">
              <w:rPr>
                <w:b w:val="0"/>
                <w:i w:val="0"/>
                <w:sz w:val="20"/>
              </w:rPr>
              <w:t xml:space="preserve"> Professional Fees. Payment of such additional fee shall be governed by the rules of paying the original invoice including the adjustment of the invoice amount caused by devaluation of </w:t>
            </w:r>
            <w:r w:rsidR="002A1083" w:rsidRPr="00E93C8D">
              <w:rPr>
                <w:b w:val="0"/>
                <w:i w:val="0"/>
                <w:sz w:val="20"/>
              </w:rPr>
              <w:t>RUB</w:t>
            </w:r>
            <w:r w:rsidR="00E92AEF" w:rsidRPr="00E93C8D">
              <w:rPr>
                <w:b w:val="0"/>
                <w:i w:val="0"/>
                <w:sz w:val="20"/>
              </w:rPr>
              <w:t xml:space="preserve"> between delivery of the additional invoice and payment thereunder.</w:t>
            </w:r>
          </w:p>
        </w:tc>
        <w:tc>
          <w:tcPr>
            <w:tcW w:w="4820" w:type="dxa"/>
            <w:gridSpan w:val="2"/>
          </w:tcPr>
          <w:p w:rsidR="00C877EB" w:rsidRPr="00E93C8D" w:rsidRDefault="00C877EB" w:rsidP="003248A3">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Если официальный курс Доллара США к российскому рублю, установленный Центральным банком Российской Федерации на дату оплаты счета, увеличится на 5 (пять) процентов и более по сравнению с официальным курсом Доллара США к российскому рублю, установленным Центральным банком Российской Федерации на дату получения счета, Сумма Вознаграждения, подлежащая уплате Делойт, будет увеличена пропорционально разнице в вышеуказанных курсах. </w:t>
            </w:r>
          </w:p>
          <w:p w:rsidR="00E92AEF" w:rsidRPr="00E93C8D" w:rsidRDefault="00B8318F" w:rsidP="003248A3">
            <w:pPr>
              <w:pStyle w:val="1"/>
              <w:keepNext w:val="0"/>
              <w:widowControl w:val="0"/>
              <w:numPr>
                <w:ilvl w:val="0"/>
                <w:numId w:val="0"/>
              </w:numPr>
              <w:spacing w:after="120"/>
              <w:outlineLvl w:val="0"/>
              <w:rPr>
                <w:b w:val="0"/>
                <w:i w:val="0"/>
                <w:sz w:val="20"/>
                <w:lang w:val="ru-RU"/>
              </w:rPr>
            </w:pPr>
            <w:r w:rsidRPr="00E93C8D">
              <w:rPr>
                <w:b w:val="0"/>
                <w:i w:val="0"/>
                <w:sz w:val="20"/>
                <w:lang w:val="ru-RU"/>
              </w:rPr>
              <w:t>Делойт</w:t>
            </w:r>
            <w:r w:rsidR="00E92AEF" w:rsidRPr="00E93C8D">
              <w:rPr>
                <w:b w:val="0"/>
                <w:i w:val="0"/>
                <w:sz w:val="20"/>
                <w:lang w:val="ru-RU"/>
              </w:rPr>
              <w:t xml:space="preserve"> выставит дополнительный счет на</w:t>
            </w:r>
            <w:r w:rsidR="00E00120" w:rsidRPr="00E93C8D">
              <w:rPr>
                <w:b w:val="0"/>
                <w:i w:val="0"/>
                <w:sz w:val="20"/>
                <w:lang w:val="ru-RU"/>
              </w:rPr>
              <w:t xml:space="preserve"> такую</w:t>
            </w:r>
            <w:r w:rsidR="00E92AEF" w:rsidRPr="00E93C8D">
              <w:rPr>
                <w:b w:val="0"/>
                <w:i w:val="0"/>
                <w:sz w:val="20"/>
                <w:lang w:val="ru-RU"/>
              </w:rPr>
              <w:t xml:space="preserve"> увеличенную Сумму Вознаграждения. Порядок оплаты увеличенной Суммы Вознаграждения, включая корректировку суммы оплаты в счете, вызванную понижением курса рубля в период между получением дополнительного счета и даты оплаты по нему, регулируется правилами оплаты по счетам, </w:t>
            </w:r>
            <w:r w:rsidR="00E92AEF" w:rsidRPr="00E93C8D">
              <w:rPr>
                <w:b w:val="0"/>
                <w:i w:val="0"/>
                <w:sz w:val="20"/>
                <w:lang w:val="ru-RU"/>
              </w:rPr>
              <w:lastRenderedPageBreak/>
              <w:t>изложенным</w:t>
            </w:r>
            <w:r w:rsidR="00C877EB" w:rsidRPr="00E93C8D">
              <w:rPr>
                <w:b w:val="0"/>
                <w:i w:val="0"/>
                <w:sz w:val="20"/>
                <w:lang w:val="ru-RU"/>
              </w:rPr>
              <w:t>и</w:t>
            </w:r>
            <w:r w:rsidR="00E92AEF" w:rsidRPr="00E93C8D">
              <w:rPr>
                <w:b w:val="0"/>
                <w:i w:val="0"/>
                <w:sz w:val="20"/>
                <w:lang w:val="ru-RU"/>
              </w:rPr>
              <w:t xml:space="preserve"> выше.</w:t>
            </w:r>
          </w:p>
        </w:tc>
      </w:tr>
      <w:tr w:rsidR="00E93C8D" w:rsidRPr="009576BA" w:rsidTr="009576BA">
        <w:trPr>
          <w:gridAfter w:val="1"/>
          <w:wAfter w:w="392" w:type="dxa"/>
        </w:trPr>
        <w:tc>
          <w:tcPr>
            <w:tcW w:w="4820" w:type="dxa"/>
            <w:gridSpan w:val="2"/>
          </w:tcPr>
          <w:p w:rsidR="00EF13C6" w:rsidRPr="00E93C8D" w:rsidRDefault="002A1083" w:rsidP="002A1083">
            <w:pPr>
              <w:pStyle w:val="1"/>
              <w:keepNext w:val="0"/>
              <w:widowControl w:val="0"/>
              <w:numPr>
                <w:ilvl w:val="0"/>
                <w:numId w:val="0"/>
              </w:numPr>
              <w:spacing w:after="120"/>
              <w:outlineLvl w:val="0"/>
              <w:rPr>
                <w:b w:val="0"/>
                <w:i w:val="0"/>
                <w:sz w:val="20"/>
              </w:rPr>
            </w:pPr>
            <w:r w:rsidRPr="00E93C8D">
              <w:rPr>
                <w:b w:val="0"/>
                <w:i w:val="0"/>
                <w:sz w:val="20"/>
              </w:rPr>
              <w:lastRenderedPageBreak/>
              <w:t>(f)</w:t>
            </w:r>
            <w:r w:rsidR="00AC6F8A" w:rsidRPr="00E93C8D">
              <w:rPr>
                <w:b w:val="0"/>
                <w:i w:val="0"/>
                <w:sz w:val="20"/>
              </w:rPr>
              <w:t xml:space="preserve"> </w:t>
            </w:r>
            <w:r w:rsidR="00895E72" w:rsidRPr="00E93C8D">
              <w:rPr>
                <w:b w:val="0"/>
                <w:i w:val="0"/>
                <w:sz w:val="20"/>
              </w:rPr>
              <w:t xml:space="preserve">The invoices may be delivered by courier, sent by email, or sent by post. Invoices delivered by courier shall be considered delivered on the date of delivery, invoices sent by email shall be considered delivered on the day of dispatch of the email by </w:t>
            </w:r>
            <w:r w:rsidR="009F6077" w:rsidRPr="00E93C8D">
              <w:rPr>
                <w:b w:val="0"/>
                <w:i w:val="0"/>
                <w:sz w:val="20"/>
              </w:rPr>
              <w:t>Deloitte</w:t>
            </w:r>
            <w:r w:rsidR="00895E72" w:rsidRPr="00E93C8D">
              <w:rPr>
                <w:b w:val="0"/>
                <w:i w:val="0"/>
                <w:sz w:val="20"/>
              </w:rPr>
              <w:t xml:space="preserve">, regardless of confirmation of receipt by the Client. Invoices sent by post shall be deemed delivered on the earlier of (i) </w:t>
            </w:r>
            <w:r w:rsidRPr="00E93C8D">
              <w:rPr>
                <w:b w:val="0"/>
                <w:i w:val="0"/>
                <w:sz w:val="20"/>
              </w:rPr>
              <w:t>7</w:t>
            </w:r>
            <w:r w:rsidR="00895E72" w:rsidRPr="00E93C8D">
              <w:rPr>
                <w:b w:val="0"/>
                <w:i w:val="0"/>
                <w:sz w:val="20"/>
              </w:rPr>
              <w:t xml:space="preserve"> calendar days from the date of dispatch or (ii) the date of actual delivery if confirmation of delivery is available. Invoices delivered by email shall be also delivered in original either by courier or by post, provided, however, that they are deemed delivered on the date of dispatch of the invoice by email.</w:t>
            </w:r>
          </w:p>
        </w:tc>
        <w:tc>
          <w:tcPr>
            <w:tcW w:w="4820" w:type="dxa"/>
            <w:gridSpan w:val="2"/>
          </w:tcPr>
          <w:p w:rsidR="00EF13C6" w:rsidRPr="00E93C8D" w:rsidRDefault="002A1083" w:rsidP="009F6FED">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f</w:t>
            </w:r>
            <w:r w:rsidRPr="00E93C8D">
              <w:rPr>
                <w:b w:val="0"/>
                <w:i w:val="0"/>
                <w:sz w:val="20"/>
                <w:lang w:val="ru-RU"/>
              </w:rPr>
              <w:t>)</w:t>
            </w:r>
            <w:r w:rsidR="00AC6F8A" w:rsidRPr="00E93C8D">
              <w:rPr>
                <w:b w:val="0"/>
                <w:i w:val="0"/>
                <w:sz w:val="20"/>
                <w:lang w:val="ru-RU"/>
              </w:rPr>
              <w:t xml:space="preserve"> </w:t>
            </w:r>
            <w:r w:rsidR="00895E72" w:rsidRPr="00E93C8D">
              <w:rPr>
                <w:b w:val="0"/>
                <w:i w:val="0"/>
                <w:sz w:val="20"/>
                <w:lang w:val="ru-RU"/>
              </w:rPr>
              <w:t xml:space="preserve">Счета могут быть отправлены посредством курьера, или по электронному адресу, или по почте. Счета, доставленные курьером, считаются полученными в день доставки; счета, отправленные по электронной почте, считаются полученными в день отправки электронной почты </w:t>
            </w:r>
            <w:r w:rsidR="00B8318F" w:rsidRPr="00E93C8D">
              <w:rPr>
                <w:b w:val="0"/>
                <w:i w:val="0"/>
                <w:sz w:val="20"/>
                <w:lang w:val="ru-RU"/>
              </w:rPr>
              <w:t>Делойт, вне зависимости от под</w:t>
            </w:r>
            <w:r w:rsidR="00895E72" w:rsidRPr="00E93C8D">
              <w:rPr>
                <w:b w:val="0"/>
                <w:i w:val="0"/>
                <w:sz w:val="20"/>
                <w:lang w:val="ru-RU"/>
              </w:rPr>
              <w:t xml:space="preserve">тверждения Клиентом получения счета. Счета, отправленные по почте, считаются полученными на наиболее раннюю из следующих дат (I) истечение семи календарных дней с даты </w:t>
            </w:r>
            <w:r w:rsidR="003248A3" w:rsidRPr="00E93C8D">
              <w:rPr>
                <w:b w:val="0"/>
                <w:i w:val="0"/>
                <w:sz w:val="20"/>
                <w:lang w:val="ru-RU"/>
              </w:rPr>
              <w:t>отправки</w:t>
            </w:r>
            <w:r w:rsidR="00895E72" w:rsidRPr="00E93C8D">
              <w:rPr>
                <w:b w:val="0"/>
                <w:i w:val="0"/>
                <w:sz w:val="20"/>
                <w:lang w:val="ru-RU"/>
              </w:rPr>
              <w:t xml:space="preserve"> или (II) дата фактического получения при наличии соответствующего подтверждения. Счета, отправленные по электронной почте, должны быть также направлены на бумажном носителе с курьером либо по почте, при этом, однако, они будут считаться полученными в момент отправки по электронной почте.</w:t>
            </w:r>
          </w:p>
        </w:tc>
      </w:tr>
      <w:tr w:rsidR="00E93C8D" w:rsidRPr="009576BA" w:rsidTr="009576BA">
        <w:trPr>
          <w:gridAfter w:val="1"/>
          <w:wAfter w:w="392" w:type="dxa"/>
        </w:trPr>
        <w:tc>
          <w:tcPr>
            <w:tcW w:w="4820" w:type="dxa"/>
            <w:gridSpan w:val="2"/>
          </w:tcPr>
          <w:p w:rsidR="00EF13C6" w:rsidRPr="00E93C8D" w:rsidRDefault="00AC6F8A" w:rsidP="00AA027C">
            <w:pPr>
              <w:pStyle w:val="1"/>
              <w:keepNext w:val="0"/>
              <w:widowControl w:val="0"/>
              <w:numPr>
                <w:ilvl w:val="0"/>
                <w:numId w:val="0"/>
              </w:numPr>
              <w:spacing w:after="120"/>
              <w:outlineLvl w:val="0"/>
              <w:rPr>
                <w:b w:val="0"/>
                <w:i w:val="0"/>
                <w:sz w:val="20"/>
              </w:rPr>
            </w:pPr>
            <w:r w:rsidRPr="00E93C8D">
              <w:rPr>
                <w:b w:val="0"/>
                <w:i w:val="0"/>
                <w:sz w:val="20"/>
              </w:rPr>
              <w:t>The date of fulfilment of</w:t>
            </w:r>
            <w:r w:rsidR="009F6077" w:rsidRPr="00E93C8D">
              <w:rPr>
                <w:b w:val="0"/>
                <w:i w:val="0"/>
                <w:sz w:val="20"/>
              </w:rPr>
              <w:t xml:space="preserve"> the</w:t>
            </w:r>
            <w:r w:rsidRPr="00E93C8D">
              <w:rPr>
                <w:b w:val="0"/>
                <w:i w:val="0"/>
                <w:sz w:val="20"/>
              </w:rPr>
              <w:t xml:space="preserve"> Client’s obligation to pay for the Services shall be understood to be the date that the fees are shown on </w:t>
            </w:r>
            <w:r w:rsidR="009F6077" w:rsidRPr="00E93C8D">
              <w:rPr>
                <w:b w:val="0"/>
                <w:i w:val="0"/>
                <w:sz w:val="20"/>
              </w:rPr>
              <w:t>Deloitte</w:t>
            </w:r>
            <w:r w:rsidRPr="00E93C8D">
              <w:rPr>
                <w:b w:val="0"/>
                <w:i w:val="0"/>
                <w:sz w:val="20"/>
              </w:rPr>
              <w:t xml:space="preserve">’s current account. Payment shall be made in accordance with the banking </w:t>
            </w:r>
            <w:r w:rsidR="00D85499" w:rsidRPr="00E93C8D">
              <w:rPr>
                <w:b w:val="0"/>
                <w:i w:val="0"/>
                <w:sz w:val="20"/>
              </w:rPr>
              <w:t>details, which</w:t>
            </w:r>
            <w:r w:rsidRPr="00E93C8D">
              <w:rPr>
                <w:b w:val="0"/>
                <w:i w:val="0"/>
                <w:sz w:val="20"/>
              </w:rPr>
              <w:t xml:space="preserve"> are </w:t>
            </w:r>
            <w:r w:rsidR="00D85499" w:rsidRPr="00E93C8D">
              <w:rPr>
                <w:b w:val="0"/>
                <w:i w:val="0"/>
                <w:sz w:val="20"/>
              </w:rPr>
              <w:t>indicated</w:t>
            </w:r>
            <w:r w:rsidRPr="00E93C8D">
              <w:rPr>
                <w:b w:val="0"/>
                <w:i w:val="0"/>
                <w:sz w:val="20"/>
              </w:rPr>
              <w:t xml:space="preserve"> on the relevant invoice. Commission for the transfer shall be charged to the payer, while commission charged by the correspondent bank (if any) shall be paid by the payee.</w:t>
            </w:r>
          </w:p>
        </w:tc>
        <w:tc>
          <w:tcPr>
            <w:tcW w:w="4820" w:type="dxa"/>
            <w:gridSpan w:val="2"/>
          </w:tcPr>
          <w:p w:rsidR="00EF13C6" w:rsidRPr="00E93C8D" w:rsidRDefault="00AC6F8A" w:rsidP="009F6FED">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Датой исполнения обязательств по оплате Услуг Клиентом считается дата зачисления денежных средств на расчетный счет </w:t>
            </w:r>
            <w:r w:rsidR="00B8318F" w:rsidRPr="00E93C8D">
              <w:rPr>
                <w:b w:val="0"/>
                <w:i w:val="0"/>
                <w:sz w:val="20"/>
                <w:lang w:val="ru-RU"/>
              </w:rPr>
              <w:t>Делойт</w:t>
            </w:r>
            <w:r w:rsidRPr="00E93C8D">
              <w:rPr>
                <w:b w:val="0"/>
                <w:i w:val="0"/>
                <w:sz w:val="20"/>
                <w:lang w:val="ru-RU"/>
              </w:rPr>
              <w:t>. Оплата производится по банковским реквизитам, которые указаны в соответствующем счете. Комиссия по переводу уплачивается за счет плательщика, комиссия банка-корреспондента (в случае ее наличия) - за счет получателя.</w:t>
            </w:r>
          </w:p>
        </w:tc>
      </w:tr>
      <w:tr w:rsidR="00E93C8D" w:rsidRPr="009576BA" w:rsidTr="009576BA">
        <w:trPr>
          <w:gridAfter w:val="1"/>
          <w:wAfter w:w="392" w:type="dxa"/>
        </w:trPr>
        <w:tc>
          <w:tcPr>
            <w:tcW w:w="4820" w:type="dxa"/>
            <w:gridSpan w:val="2"/>
          </w:tcPr>
          <w:p w:rsidR="00975AE5" w:rsidRPr="00E93C8D" w:rsidRDefault="002A1083" w:rsidP="002A1083">
            <w:pPr>
              <w:pStyle w:val="1"/>
              <w:keepNext w:val="0"/>
              <w:widowControl w:val="0"/>
              <w:numPr>
                <w:ilvl w:val="0"/>
                <w:numId w:val="0"/>
              </w:numPr>
              <w:spacing w:after="120"/>
              <w:outlineLvl w:val="0"/>
              <w:rPr>
                <w:b w:val="0"/>
                <w:i w:val="0"/>
                <w:sz w:val="20"/>
              </w:rPr>
            </w:pPr>
            <w:r w:rsidRPr="00E93C8D">
              <w:rPr>
                <w:b w:val="0"/>
                <w:i w:val="0"/>
                <w:sz w:val="20"/>
              </w:rPr>
              <w:t>(g)</w:t>
            </w:r>
            <w:r w:rsidR="00975AE5" w:rsidRPr="00E93C8D">
              <w:rPr>
                <w:b w:val="0"/>
                <w:i w:val="0"/>
                <w:sz w:val="20"/>
              </w:rPr>
              <w:t xml:space="preserve"> Within 5 business days of receiving the invoice the Client shall notify Deloitte in writing of any disputed issues that have prevented the payment of the invoice in due time.</w:t>
            </w:r>
          </w:p>
        </w:tc>
        <w:tc>
          <w:tcPr>
            <w:tcW w:w="4820" w:type="dxa"/>
            <w:gridSpan w:val="2"/>
          </w:tcPr>
          <w:p w:rsidR="00975AE5" w:rsidRPr="00E93C8D" w:rsidRDefault="002A1083" w:rsidP="009F6FED">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g</w:t>
            </w:r>
            <w:r w:rsidRPr="00E93C8D">
              <w:rPr>
                <w:b w:val="0"/>
                <w:i w:val="0"/>
                <w:sz w:val="20"/>
                <w:lang w:val="ru-RU"/>
              </w:rPr>
              <w:t>)</w:t>
            </w:r>
            <w:r w:rsidR="00975AE5" w:rsidRPr="00E93C8D">
              <w:rPr>
                <w:b w:val="0"/>
                <w:i w:val="0"/>
                <w:sz w:val="20"/>
                <w:lang w:val="ru-RU"/>
              </w:rPr>
              <w:t xml:space="preserve"> В течение 5 (пяти) банковских дней с момента получения счета Клиент должен направить Делойт письменное уведомление о возникновении спорных моментов, которые препятствуют своевременной оплате счета.</w:t>
            </w:r>
          </w:p>
        </w:tc>
      </w:tr>
      <w:tr w:rsidR="00E93C8D" w:rsidRPr="00E93C8D" w:rsidTr="009576BA">
        <w:trPr>
          <w:gridAfter w:val="1"/>
          <w:wAfter w:w="392" w:type="dxa"/>
        </w:trPr>
        <w:tc>
          <w:tcPr>
            <w:tcW w:w="4820" w:type="dxa"/>
            <w:gridSpan w:val="2"/>
          </w:tcPr>
          <w:p w:rsidR="00975AE5" w:rsidRPr="00E93C8D" w:rsidRDefault="002A1083" w:rsidP="002A1083">
            <w:pPr>
              <w:pStyle w:val="1"/>
              <w:keepNext w:val="0"/>
              <w:widowControl w:val="0"/>
              <w:numPr>
                <w:ilvl w:val="0"/>
                <w:numId w:val="0"/>
              </w:numPr>
              <w:spacing w:after="120"/>
              <w:outlineLvl w:val="0"/>
              <w:rPr>
                <w:b w:val="0"/>
                <w:i w:val="0"/>
                <w:sz w:val="20"/>
              </w:rPr>
            </w:pPr>
            <w:r w:rsidRPr="00E93C8D">
              <w:rPr>
                <w:b w:val="0"/>
                <w:i w:val="0"/>
                <w:sz w:val="20"/>
              </w:rPr>
              <w:t>(h)</w:t>
            </w:r>
            <w:r w:rsidR="00975AE5" w:rsidRPr="00E93C8D">
              <w:rPr>
                <w:b w:val="0"/>
                <w:i w:val="0"/>
                <w:sz w:val="20"/>
              </w:rPr>
              <w:t xml:space="preserve"> In the event Deloitte incurs any collection costs with regard to the overdue fees these costs shall be charged to the Client in an additional invoice without markup.</w:t>
            </w:r>
          </w:p>
        </w:tc>
        <w:tc>
          <w:tcPr>
            <w:tcW w:w="4820" w:type="dxa"/>
            <w:gridSpan w:val="2"/>
          </w:tcPr>
          <w:p w:rsidR="00975AE5" w:rsidRPr="00E93C8D" w:rsidRDefault="002A1083" w:rsidP="009F6FED">
            <w:pPr>
              <w:widowControl w:val="0"/>
              <w:spacing w:after="120"/>
              <w:rPr>
                <w:kern w:val="28"/>
                <w:sz w:val="20"/>
              </w:rPr>
            </w:pPr>
            <w:r w:rsidRPr="00E93C8D">
              <w:rPr>
                <w:kern w:val="28"/>
                <w:sz w:val="20"/>
                <w:lang w:val="ru-RU"/>
              </w:rPr>
              <w:t>(</w:t>
            </w:r>
            <w:r w:rsidRPr="00E93C8D">
              <w:rPr>
                <w:kern w:val="28"/>
                <w:sz w:val="20"/>
              </w:rPr>
              <w:t>h</w:t>
            </w:r>
            <w:r w:rsidRPr="00E93C8D">
              <w:rPr>
                <w:kern w:val="28"/>
                <w:sz w:val="20"/>
                <w:lang w:val="ru-RU"/>
              </w:rPr>
              <w:t>)</w:t>
            </w:r>
            <w:r w:rsidR="00975AE5" w:rsidRPr="00E93C8D">
              <w:rPr>
                <w:kern w:val="28"/>
                <w:sz w:val="20"/>
                <w:lang w:val="ru-RU"/>
              </w:rPr>
              <w:t xml:space="preserve"> В случае если Делойт несет расходы, связанные с взиманием задолженности по оплате Услуг, такие расходы подлежат возмещению </w:t>
            </w:r>
            <w:r w:rsidR="00975AE5" w:rsidRPr="00E93C8D">
              <w:rPr>
                <w:kern w:val="28"/>
                <w:sz w:val="20"/>
              </w:rPr>
              <w:t>Клиентом.</w:t>
            </w:r>
          </w:p>
        </w:tc>
      </w:tr>
      <w:tr w:rsidR="00E93C8D" w:rsidRPr="00E94258" w:rsidTr="009576BA">
        <w:trPr>
          <w:gridAfter w:val="1"/>
          <w:wAfter w:w="392" w:type="dxa"/>
        </w:trPr>
        <w:tc>
          <w:tcPr>
            <w:tcW w:w="4820" w:type="dxa"/>
            <w:gridSpan w:val="2"/>
          </w:tcPr>
          <w:p w:rsidR="00975AE5" w:rsidRPr="00E93C8D" w:rsidRDefault="002A1083" w:rsidP="001A22BE">
            <w:pPr>
              <w:pStyle w:val="1"/>
              <w:keepNext w:val="0"/>
              <w:widowControl w:val="0"/>
              <w:numPr>
                <w:ilvl w:val="0"/>
                <w:numId w:val="0"/>
              </w:numPr>
              <w:spacing w:after="120"/>
              <w:outlineLvl w:val="0"/>
              <w:rPr>
                <w:b w:val="0"/>
                <w:i w:val="0"/>
                <w:sz w:val="20"/>
              </w:rPr>
            </w:pPr>
            <w:r w:rsidRPr="00E93C8D">
              <w:rPr>
                <w:b w:val="0"/>
                <w:i w:val="0"/>
                <w:sz w:val="20"/>
              </w:rPr>
              <w:t>(i)</w:t>
            </w:r>
            <w:r w:rsidR="00975AE5" w:rsidRPr="00E93C8D">
              <w:rPr>
                <w:b w:val="0"/>
                <w:i w:val="0"/>
                <w:sz w:val="20"/>
              </w:rPr>
              <w:t xml:space="preserve"> Upon completion of the Services or a part of the Services </w:t>
            </w:r>
            <w:r w:rsidRPr="00E93C8D">
              <w:rPr>
                <w:b w:val="0"/>
                <w:i w:val="0"/>
                <w:sz w:val="20"/>
              </w:rPr>
              <w:t>in accordance with</w:t>
            </w:r>
            <w:r w:rsidR="00975AE5" w:rsidRPr="00E93C8D">
              <w:rPr>
                <w:b w:val="0"/>
                <w:i w:val="0"/>
                <w:sz w:val="20"/>
              </w:rPr>
              <w:t xml:space="preserve"> the Engagement Letter or</w:t>
            </w:r>
            <w:r w:rsidR="009F4E22" w:rsidRPr="00E93C8D">
              <w:rPr>
                <w:b w:val="0"/>
                <w:i w:val="0"/>
                <w:sz w:val="20"/>
              </w:rPr>
              <w:t xml:space="preserve"> any</w:t>
            </w:r>
            <w:r w:rsidR="00975AE5" w:rsidRPr="00E93C8D">
              <w:rPr>
                <w:b w:val="0"/>
                <w:i w:val="0"/>
                <w:sz w:val="20"/>
              </w:rPr>
              <w:t xml:space="preserve"> Addendum, </w:t>
            </w:r>
            <w:r w:rsidR="009F4E22" w:rsidRPr="00E93C8D">
              <w:rPr>
                <w:b w:val="0"/>
                <w:i w:val="0"/>
                <w:sz w:val="20"/>
              </w:rPr>
              <w:t>p</w:t>
            </w:r>
            <w:r w:rsidR="00975AE5" w:rsidRPr="00E93C8D">
              <w:rPr>
                <w:b w:val="0"/>
                <w:i w:val="0"/>
                <w:sz w:val="20"/>
              </w:rPr>
              <w:t xml:space="preserve">arties shall sign the </w:t>
            </w:r>
            <w:r w:rsidR="00DD1118" w:rsidRPr="00E93C8D">
              <w:rPr>
                <w:b w:val="0"/>
                <w:i w:val="0"/>
                <w:sz w:val="20"/>
              </w:rPr>
              <w:t>s</w:t>
            </w:r>
            <w:r w:rsidR="00975AE5" w:rsidRPr="00E93C8D">
              <w:rPr>
                <w:b w:val="0"/>
                <w:i w:val="0"/>
                <w:sz w:val="20"/>
              </w:rPr>
              <w:t xml:space="preserve">ervices </w:t>
            </w:r>
            <w:r w:rsidR="00DD1118" w:rsidRPr="00E93C8D">
              <w:rPr>
                <w:b w:val="0"/>
                <w:i w:val="0"/>
                <w:sz w:val="20"/>
              </w:rPr>
              <w:t>a</w:t>
            </w:r>
            <w:r w:rsidR="00975AE5" w:rsidRPr="00E93C8D">
              <w:rPr>
                <w:b w:val="0"/>
                <w:i w:val="0"/>
                <w:sz w:val="20"/>
              </w:rPr>
              <w:t xml:space="preserve">cceptance </w:t>
            </w:r>
            <w:r w:rsidR="00DD1118" w:rsidRPr="00E93C8D">
              <w:rPr>
                <w:b w:val="0"/>
                <w:i w:val="0"/>
                <w:sz w:val="20"/>
              </w:rPr>
              <w:t>a</w:t>
            </w:r>
            <w:r w:rsidR="00975AE5" w:rsidRPr="00E93C8D">
              <w:rPr>
                <w:b w:val="0"/>
                <w:i w:val="0"/>
                <w:sz w:val="20"/>
              </w:rPr>
              <w:t xml:space="preserve">ct. The </w:t>
            </w:r>
            <w:r w:rsidR="00DD1118" w:rsidRPr="00E93C8D">
              <w:rPr>
                <w:b w:val="0"/>
                <w:i w:val="0"/>
                <w:sz w:val="20"/>
              </w:rPr>
              <w:t>s</w:t>
            </w:r>
            <w:r w:rsidR="00975AE5" w:rsidRPr="00E93C8D">
              <w:rPr>
                <w:b w:val="0"/>
                <w:i w:val="0"/>
                <w:sz w:val="20"/>
              </w:rPr>
              <w:t xml:space="preserve">ervices </w:t>
            </w:r>
            <w:r w:rsidR="00DD1118" w:rsidRPr="00E93C8D">
              <w:rPr>
                <w:b w:val="0"/>
                <w:i w:val="0"/>
                <w:sz w:val="20"/>
              </w:rPr>
              <w:t>a</w:t>
            </w:r>
            <w:r w:rsidR="00975AE5" w:rsidRPr="00E93C8D">
              <w:rPr>
                <w:b w:val="0"/>
                <w:i w:val="0"/>
                <w:sz w:val="20"/>
              </w:rPr>
              <w:t xml:space="preserve">cceptance </w:t>
            </w:r>
            <w:r w:rsidR="00DD1118" w:rsidRPr="00E93C8D">
              <w:rPr>
                <w:b w:val="0"/>
                <w:i w:val="0"/>
                <w:sz w:val="20"/>
              </w:rPr>
              <w:t>a</w:t>
            </w:r>
            <w:r w:rsidR="00975AE5" w:rsidRPr="00E93C8D">
              <w:rPr>
                <w:b w:val="0"/>
                <w:i w:val="0"/>
                <w:sz w:val="20"/>
              </w:rPr>
              <w:t xml:space="preserve">ct shall be issued in the currency of the Engagement Letter or the corresponding Addendum. In case the Client refuses to sign the </w:t>
            </w:r>
            <w:r w:rsidR="00DD1118" w:rsidRPr="00E93C8D">
              <w:rPr>
                <w:b w:val="0"/>
                <w:i w:val="0"/>
                <w:sz w:val="20"/>
              </w:rPr>
              <w:t>a</w:t>
            </w:r>
            <w:r w:rsidR="00975AE5" w:rsidRPr="00E93C8D">
              <w:rPr>
                <w:b w:val="0"/>
                <w:i w:val="0"/>
                <w:sz w:val="20"/>
              </w:rPr>
              <w:t xml:space="preserve">ct, the Client shall notify Deloitte in writing with providing a substantial reason for refusal within 5 business days from receipt of the </w:t>
            </w:r>
            <w:r w:rsidR="00DD1118" w:rsidRPr="00E93C8D">
              <w:rPr>
                <w:b w:val="0"/>
                <w:i w:val="0"/>
                <w:sz w:val="20"/>
              </w:rPr>
              <w:t>a</w:t>
            </w:r>
            <w:r w:rsidR="00975AE5" w:rsidRPr="00E93C8D">
              <w:rPr>
                <w:b w:val="0"/>
                <w:i w:val="0"/>
                <w:sz w:val="20"/>
              </w:rPr>
              <w:t xml:space="preserve">ct. </w:t>
            </w:r>
            <w:r w:rsidR="00DD1118" w:rsidRPr="00E93C8D">
              <w:rPr>
                <w:b w:val="0"/>
                <w:i w:val="0"/>
                <w:sz w:val="20"/>
              </w:rPr>
              <w:t xml:space="preserve">If </w:t>
            </w:r>
            <w:r w:rsidR="001A22BE" w:rsidRPr="00E93C8D">
              <w:rPr>
                <w:b w:val="0"/>
                <w:i w:val="0"/>
                <w:sz w:val="20"/>
              </w:rPr>
              <w:t>Deloitte</w:t>
            </w:r>
            <w:r w:rsidR="00DD1118" w:rsidRPr="00E93C8D">
              <w:rPr>
                <w:b w:val="0"/>
                <w:i w:val="0"/>
                <w:sz w:val="20"/>
              </w:rPr>
              <w:t xml:space="preserve"> does not receive the signed services acceptance act or a substantiated refusal to sign such act wihitn the specified timeframe, the Parties acknowledge that the act shall be deemed signed, and the Services shall be deemed rendered by </w:t>
            </w:r>
            <w:r w:rsidR="001A22BE" w:rsidRPr="00E93C8D">
              <w:rPr>
                <w:b w:val="0"/>
                <w:i w:val="0"/>
                <w:sz w:val="20"/>
              </w:rPr>
              <w:t>Deloitte</w:t>
            </w:r>
            <w:r w:rsidR="00DD1118" w:rsidRPr="00E93C8D">
              <w:rPr>
                <w:b w:val="0"/>
                <w:i w:val="0"/>
                <w:sz w:val="20"/>
              </w:rPr>
              <w:t xml:space="preserve"> and accepted by the Client within the scope and on conditions as stated in such services acceptance act</w:t>
            </w:r>
            <w:r w:rsidR="00975AE5" w:rsidRPr="00E93C8D">
              <w:rPr>
                <w:b w:val="0"/>
                <w:i w:val="0"/>
                <w:sz w:val="20"/>
              </w:rPr>
              <w:t xml:space="preserve">. In case the </w:t>
            </w:r>
            <w:r w:rsidR="00DD1118" w:rsidRPr="00E93C8D">
              <w:rPr>
                <w:b w:val="0"/>
                <w:i w:val="0"/>
                <w:sz w:val="20"/>
              </w:rPr>
              <w:t>a</w:t>
            </w:r>
            <w:r w:rsidR="00975AE5" w:rsidRPr="00E93C8D">
              <w:rPr>
                <w:b w:val="0"/>
                <w:i w:val="0"/>
                <w:sz w:val="20"/>
              </w:rPr>
              <w:t xml:space="preserve">ct is not signed by one of </w:t>
            </w:r>
            <w:r w:rsidR="009F4E22" w:rsidRPr="00E93C8D">
              <w:rPr>
                <w:b w:val="0"/>
                <w:i w:val="0"/>
                <w:sz w:val="20"/>
              </w:rPr>
              <w:t>p</w:t>
            </w:r>
            <w:r w:rsidR="00975AE5" w:rsidRPr="00E93C8D">
              <w:rPr>
                <w:b w:val="0"/>
                <w:i w:val="0"/>
                <w:sz w:val="20"/>
              </w:rPr>
              <w:t xml:space="preserve">arties and the written justified refusal is not presented within the specified timeframe, it shall be signed by the other </w:t>
            </w:r>
            <w:r w:rsidR="009F4E22" w:rsidRPr="00E93C8D">
              <w:rPr>
                <w:b w:val="0"/>
                <w:i w:val="0"/>
                <w:sz w:val="20"/>
              </w:rPr>
              <w:t>p</w:t>
            </w:r>
            <w:r w:rsidR="00975AE5" w:rsidRPr="00E93C8D">
              <w:rPr>
                <w:b w:val="0"/>
                <w:i w:val="0"/>
                <w:sz w:val="20"/>
              </w:rPr>
              <w:t xml:space="preserve">arty and the refusal to sign shall be stated in the </w:t>
            </w:r>
            <w:r w:rsidR="00ED12B2" w:rsidRPr="00E93C8D">
              <w:rPr>
                <w:b w:val="0"/>
                <w:i w:val="0"/>
                <w:sz w:val="20"/>
              </w:rPr>
              <w:t>a</w:t>
            </w:r>
            <w:r w:rsidR="00975AE5" w:rsidRPr="00E93C8D">
              <w:rPr>
                <w:b w:val="0"/>
                <w:i w:val="0"/>
                <w:sz w:val="20"/>
              </w:rPr>
              <w:t xml:space="preserve">ct.  </w:t>
            </w:r>
          </w:p>
        </w:tc>
        <w:tc>
          <w:tcPr>
            <w:tcW w:w="4820" w:type="dxa"/>
            <w:gridSpan w:val="2"/>
          </w:tcPr>
          <w:p w:rsidR="00975AE5" w:rsidRPr="00E93C8D" w:rsidRDefault="002A1083" w:rsidP="001A22BE">
            <w:pPr>
              <w:widowControl w:val="0"/>
              <w:spacing w:after="120"/>
              <w:rPr>
                <w:sz w:val="20"/>
                <w:lang w:val="ru-RU"/>
              </w:rPr>
            </w:pPr>
            <w:r w:rsidRPr="00E93C8D">
              <w:rPr>
                <w:sz w:val="20"/>
                <w:lang w:val="ru-RU"/>
              </w:rPr>
              <w:t>(</w:t>
            </w:r>
            <w:r w:rsidRPr="00E93C8D">
              <w:rPr>
                <w:sz w:val="20"/>
              </w:rPr>
              <w:t>i</w:t>
            </w:r>
            <w:r w:rsidRPr="00E93C8D">
              <w:rPr>
                <w:sz w:val="20"/>
                <w:lang w:val="ru-RU"/>
              </w:rPr>
              <w:t>)</w:t>
            </w:r>
            <w:r w:rsidR="00975AE5" w:rsidRPr="00E93C8D">
              <w:rPr>
                <w:sz w:val="20"/>
                <w:lang w:val="ru-RU"/>
              </w:rPr>
              <w:t xml:space="preserve"> По завершении оказания Услуг или части Услуг по Соглашению или Дополнительному Соглашению, </w:t>
            </w:r>
            <w:r w:rsidR="009F4E22" w:rsidRPr="00E93C8D">
              <w:rPr>
                <w:sz w:val="20"/>
                <w:lang w:val="ru-RU"/>
              </w:rPr>
              <w:t>с</w:t>
            </w:r>
            <w:r w:rsidR="00975AE5" w:rsidRPr="00E93C8D">
              <w:rPr>
                <w:sz w:val="20"/>
                <w:lang w:val="ru-RU"/>
              </w:rPr>
              <w:t xml:space="preserve">тороны подписывают </w:t>
            </w:r>
            <w:r w:rsidR="00ED12B2" w:rsidRPr="00E93C8D">
              <w:rPr>
                <w:sz w:val="20"/>
                <w:lang w:val="ru-RU"/>
              </w:rPr>
              <w:t>а</w:t>
            </w:r>
            <w:r w:rsidR="00975AE5" w:rsidRPr="00E93C8D">
              <w:rPr>
                <w:sz w:val="20"/>
                <w:lang w:val="ru-RU"/>
              </w:rPr>
              <w:t xml:space="preserve">кт приема-передачи Услуг. Акт оформляется в валюте настоящего Соглашения или соответствующего Дополнительного соглашения. В случае отказа Клиента от подписания </w:t>
            </w:r>
            <w:r w:rsidR="00ED12B2" w:rsidRPr="00E93C8D">
              <w:rPr>
                <w:sz w:val="20"/>
                <w:lang w:val="ru-RU"/>
              </w:rPr>
              <w:t>а</w:t>
            </w:r>
            <w:r w:rsidR="00975AE5" w:rsidRPr="00E93C8D">
              <w:rPr>
                <w:sz w:val="20"/>
                <w:lang w:val="ru-RU"/>
              </w:rPr>
              <w:t xml:space="preserve">кта, Клиент обязан предоставить Делойт письменное обоснование такого отказа в течение 5 (пяти) банковских дней после получения им соответствующего </w:t>
            </w:r>
            <w:r w:rsidR="00ED12B2" w:rsidRPr="00E93C8D">
              <w:rPr>
                <w:sz w:val="20"/>
                <w:lang w:val="ru-RU"/>
              </w:rPr>
              <w:t>а</w:t>
            </w:r>
            <w:r w:rsidR="00975AE5" w:rsidRPr="00E93C8D">
              <w:rPr>
                <w:sz w:val="20"/>
                <w:lang w:val="ru-RU"/>
              </w:rPr>
              <w:t xml:space="preserve">кта. </w:t>
            </w:r>
            <w:r w:rsidR="00DD1118" w:rsidRPr="00E93C8D">
              <w:rPr>
                <w:sz w:val="20"/>
                <w:lang w:val="ru-RU"/>
              </w:rPr>
              <w:t xml:space="preserve">В случае если </w:t>
            </w:r>
            <w:r w:rsidR="001A22BE" w:rsidRPr="00E93C8D">
              <w:rPr>
                <w:sz w:val="20"/>
                <w:lang w:val="ru-RU"/>
              </w:rPr>
              <w:t>Делойт</w:t>
            </w:r>
            <w:r w:rsidR="00DD1118" w:rsidRPr="00E93C8D">
              <w:rPr>
                <w:sz w:val="20"/>
                <w:lang w:val="ru-RU"/>
              </w:rPr>
              <w:t xml:space="preserve"> в указанные сроки не получит от </w:t>
            </w:r>
            <w:r w:rsidR="001A22BE" w:rsidRPr="00E93C8D">
              <w:rPr>
                <w:sz w:val="20"/>
                <w:lang w:val="ru-RU"/>
              </w:rPr>
              <w:t>Клиента</w:t>
            </w:r>
            <w:r w:rsidR="00DD1118" w:rsidRPr="00E93C8D">
              <w:rPr>
                <w:sz w:val="20"/>
                <w:lang w:val="ru-RU"/>
              </w:rPr>
              <w:t xml:space="preserve"> подписанный акт </w:t>
            </w:r>
            <w:r w:rsidR="00ED12B2" w:rsidRPr="00E93C8D">
              <w:rPr>
                <w:sz w:val="20"/>
                <w:lang w:val="ru-RU"/>
              </w:rPr>
              <w:t>приема-передачи</w:t>
            </w:r>
            <w:r w:rsidR="00DD1118" w:rsidRPr="00E93C8D">
              <w:rPr>
                <w:sz w:val="20"/>
                <w:lang w:val="ru-RU"/>
              </w:rPr>
              <w:t xml:space="preserve"> или мотивированный отказ от его подписания, Стороны признают, что акт </w:t>
            </w:r>
            <w:r w:rsidR="00ED12B2" w:rsidRPr="00E93C8D">
              <w:rPr>
                <w:sz w:val="20"/>
                <w:lang w:val="ru-RU"/>
              </w:rPr>
              <w:t>приема-передачи</w:t>
            </w:r>
            <w:r w:rsidR="00DD1118" w:rsidRPr="00E93C8D">
              <w:rPr>
                <w:sz w:val="20"/>
                <w:lang w:val="ru-RU"/>
              </w:rPr>
              <w:t xml:space="preserve"> считается подписанным, а Услуги оказанными </w:t>
            </w:r>
            <w:r w:rsidR="001A22BE" w:rsidRPr="00E93C8D">
              <w:rPr>
                <w:sz w:val="20"/>
                <w:lang w:val="ru-RU"/>
              </w:rPr>
              <w:t>Делойт</w:t>
            </w:r>
            <w:r w:rsidR="00DD1118" w:rsidRPr="00E93C8D">
              <w:rPr>
                <w:sz w:val="20"/>
                <w:lang w:val="ru-RU"/>
              </w:rPr>
              <w:t xml:space="preserve"> и принятыми </w:t>
            </w:r>
            <w:r w:rsidR="001A22BE" w:rsidRPr="00E93C8D">
              <w:rPr>
                <w:sz w:val="20"/>
                <w:lang w:val="ru-RU"/>
              </w:rPr>
              <w:t>Клиентом</w:t>
            </w:r>
            <w:r w:rsidR="00DD1118" w:rsidRPr="00E93C8D">
              <w:rPr>
                <w:sz w:val="20"/>
                <w:lang w:val="ru-RU"/>
              </w:rPr>
              <w:t xml:space="preserve"> в объеме и на условиях, указанных в таком акте </w:t>
            </w:r>
            <w:r w:rsidR="00ED12B2" w:rsidRPr="00E93C8D">
              <w:rPr>
                <w:sz w:val="20"/>
                <w:lang w:val="ru-RU"/>
              </w:rPr>
              <w:t>приема-передачи</w:t>
            </w:r>
            <w:r w:rsidR="00975AE5" w:rsidRPr="00E93C8D">
              <w:rPr>
                <w:sz w:val="20"/>
                <w:lang w:val="ru-RU"/>
              </w:rPr>
              <w:t xml:space="preserve">. При отказе одной из </w:t>
            </w:r>
            <w:r w:rsidR="009F4E22" w:rsidRPr="00E93C8D">
              <w:rPr>
                <w:sz w:val="20"/>
                <w:lang w:val="ru-RU"/>
              </w:rPr>
              <w:t>с</w:t>
            </w:r>
            <w:r w:rsidR="00975AE5" w:rsidRPr="00E93C8D">
              <w:rPr>
                <w:sz w:val="20"/>
                <w:lang w:val="ru-RU"/>
              </w:rPr>
              <w:t xml:space="preserve">торон от подписания </w:t>
            </w:r>
            <w:r w:rsidR="00ED12B2" w:rsidRPr="00E93C8D">
              <w:rPr>
                <w:sz w:val="20"/>
                <w:lang w:val="ru-RU"/>
              </w:rPr>
              <w:t>а</w:t>
            </w:r>
            <w:r w:rsidR="00975AE5" w:rsidRPr="00E93C8D">
              <w:rPr>
                <w:sz w:val="20"/>
                <w:lang w:val="ru-RU"/>
              </w:rPr>
              <w:t xml:space="preserve">кта без предоставления письменного обоснования отказа в установленные сроки, в нем делается соответствующая отметка, и </w:t>
            </w:r>
            <w:r w:rsidR="00ED12B2" w:rsidRPr="00E93C8D">
              <w:rPr>
                <w:sz w:val="20"/>
                <w:lang w:val="ru-RU"/>
              </w:rPr>
              <w:t>а</w:t>
            </w:r>
            <w:r w:rsidR="00975AE5" w:rsidRPr="00E93C8D">
              <w:rPr>
                <w:sz w:val="20"/>
                <w:lang w:val="ru-RU"/>
              </w:rPr>
              <w:t xml:space="preserve">кт подписывается другой </w:t>
            </w:r>
            <w:r w:rsidR="009F4E22" w:rsidRPr="00E93C8D">
              <w:rPr>
                <w:sz w:val="20"/>
                <w:lang w:val="ru-RU"/>
              </w:rPr>
              <w:t>с</w:t>
            </w:r>
            <w:r w:rsidR="00975AE5" w:rsidRPr="00E93C8D">
              <w:rPr>
                <w:sz w:val="20"/>
                <w:lang w:val="ru-RU"/>
              </w:rPr>
              <w:t>тороной.</w:t>
            </w:r>
          </w:p>
        </w:tc>
      </w:tr>
      <w:tr w:rsidR="00E93C8D" w:rsidRPr="009576BA" w:rsidTr="009576BA">
        <w:trPr>
          <w:gridAfter w:val="1"/>
          <w:wAfter w:w="392" w:type="dxa"/>
        </w:trPr>
        <w:tc>
          <w:tcPr>
            <w:tcW w:w="4820" w:type="dxa"/>
            <w:gridSpan w:val="2"/>
          </w:tcPr>
          <w:p w:rsidR="00975AE5" w:rsidRPr="00E93C8D" w:rsidRDefault="00967967" w:rsidP="00B772E3">
            <w:pPr>
              <w:pStyle w:val="1"/>
              <w:keepNext w:val="0"/>
              <w:widowControl w:val="0"/>
              <w:numPr>
                <w:ilvl w:val="0"/>
                <w:numId w:val="0"/>
              </w:numPr>
              <w:spacing w:after="120"/>
              <w:outlineLvl w:val="0"/>
              <w:rPr>
                <w:b w:val="0"/>
                <w:i w:val="0"/>
                <w:sz w:val="20"/>
              </w:rPr>
            </w:pPr>
            <w:r w:rsidRPr="00E93C8D">
              <w:rPr>
                <w:b w:val="0"/>
                <w:i w:val="0"/>
                <w:sz w:val="20"/>
              </w:rPr>
              <w:t>(</w:t>
            </w:r>
            <w:r w:rsidR="00110B7C" w:rsidRPr="00E93C8D">
              <w:rPr>
                <w:b w:val="0"/>
                <w:i w:val="0"/>
                <w:sz w:val="20"/>
              </w:rPr>
              <w:t>j</w:t>
            </w:r>
            <w:r w:rsidRPr="00E93C8D">
              <w:rPr>
                <w:b w:val="0"/>
                <w:i w:val="0"/>
                <w:sz w:val="20"/>
              </w:rPr>
              <w:t>)</w:t>
            </w:r>
            <w:r w:rsidR="00975AE5" w:rsidRPr="00E93C8D">
              <w:rPr>
                <w:b w:val="0"/>
                <w:i w:val="0"/>
                <w:sz w:val="20"/>
              </w:rPr>
              <w:t xml:space="preserve"> The Client shall pay for the Services actually provided by Deloitte and compensate the expenses incurred by Deloitte in the</w:t>
            </w:r>
            <w:r w:rsidR="00B772E3" w:rsidRPr="00E93C8D">
              <w:rPr>
                <w:b w:val="0"/>
                <w:i w:val="0"/>
                <w:sz w:val="20"/>
              </w:rPr>
              <w:t xml:space="preserve"> following cases</w:t>
            </w:r>
            <w:r w:rsidR="00975AE5" w:rsidRPr="00E93C8D">
              <w:rPr>
                <w:b w:val="0"/>
                <w:i w:val="0"/>
                <w:sz w:val="20"/>
              </w:rPr>
              <w:t>:</w:t>
            </w:r>
          </w:p>
        </w:tc>
        <w:tc>
          <w:tcPr>
            <w:tcW w:w="4820" w:type="dxa"/>
            <w:gridSpan w:val="2"/>
          </w:tcPr>
          <w:p w:rsidR="00975AE5" w:rsidRPr="00E93C8D" w:rsidRDefault="00967967" w:rsidP="00B772E3">
            <w:pPr>
              <w:widowControl w:val="0"/>
              <w:spacing w:after="120"/>
              <w:rPr>
                <w:sz w:val="20"/>
                <w:lang w:val="ru-RU"/>
              </w:rPr>
            </w:pPr>
            <w:r w:rsidRPr="00E93C8D">
              <w:rPr>
                <w:sz w:val="20"/>
                <w:lang w:val="ru-RU"/>
              </w:rPr>
              <w:t>(</w:t>
            </w:r>
            <w:r w:rsidR="00110B7C" w:rsidRPr="00E93C8D">
              <w:rPr>
                <w:sz w:val="20"/>
              </w:rPr>
              <w:t>j</w:t>
            </w:r>
            <w:r w:rsidRPr="00E93C8D">
              <w:rPr>
                <w:sz w:val="20"/>
                <w:lang w:val="ru-RU"/>
              </w:rPr>
              <w:t xml:space="preserve">) </w:t>
            </w:r>
            <w:r w:rsidR="00975AE5" w:rsidRPr="00E93C8D">
              <w:rPr>
                <w:kern w:val="28"/>
                <w:sz w:val="20"/>
                <w:lang w:val="ru-RU"/>
              </w:rPr>
              <w:t>В случаях, перечисленных в настоящем пункте, Клиент обязан оплатить фактически оказанные Делойт Услуги и в</w:t>
            </w:r>
            <w:r w:rsidR="00B772E3" w:rsidRPr="00E93C8D">
              <w:rPr>
                <w:kern w:val="28"/>
                <w:sz w:val="20"/>
                <w:lang w:val="ru-RU"/>
              </w:rPr>
              <w:t>озместить понесенные им расходы</w:t>
            </w:r>
            <w:r w:rsidR="00975AE5" w:rsidRPr="00E93C8D">
              <w:rPr>
                <w:kern w:val="28"/>
                <w:sz w:val="20"/>
                <w:lang w:val="ru-RU"/>
              </w:rPr>
              <w:t>:</w:t>
            </w:r>
          </w:p>
        </w:tc>
      </w:tr>
      <w:tr w:rsidR="00E93C8D" w:rsidRPr="009576BA" w:rsidTr="009576BA">
        <w:trPr>
          <w:gridAfter w:val="1"/>
          <w:wAfter w:w="392" w:type="dxa"/>
        </w:trPr>
        <w:tc>
          <w:tcPr>
            <w:tcW w:w="4820" w:type="dxa"/>
            <w:gridSpan w:val="2"/>
          </w:tcPr>
          <w:p w:rsidR="00975AE5" w:rsidRPr="00E93C8D" w:rsidRDefault="00975AE5" w:rsidP="00967967">
            <w:pPr>
              <w:pStyle w:val="1"/>
              <w:keepNext w:val="0"/>
              <w:widowControl w:val="0"/>
              <w:numPr>
                <w:ilvl w:val="0"/>
                <w:numId w:val="0"/>
              </w:numPr>
              <w:spacing w:after="120"/>
              <w:outlineLvl w:val="0"/>
              <w:rPr>
                <w:b w:val="0"/>
                <w:i w:val="0"/>
                <w:sz w:val="20"/>
                <w:lang w:eastAsia="ru-RU"/>
              </w:rPr>
            </w:pPr>
            <w:r w:rsidRPr="00E93C8D">
              <w:rPr>
                <w:b w:val="0"/>
                <w:i w:val="0"/>
                <w:sz w:val="20"/>
                <w:lang w:eastAsia="ru-RU"/>
              </w:rPr>
              <w:t xml:space="preserve">- unilateral termination of the Contract by either </w:t>
            </w:r>
            <w:r w:rsidR="00967967" w:rsidRPr="00E93C8D">
              <w:rPr>
                <w:b w:val="0"/>
                <w:i w:val="0"/>
                <w:sz w:val="20"/>
                <w:lang w:eastAsia="ru-RU"/>
              </w:rPr>
              <w:t>p</w:t>
            </w:r>
            <w:r w:rsidRPr="00E93C8D">
              <w:rPr>
                <w:b w:val="0"/>
                <w:i w:val="0"/>
                <w:sz w:val="20"/>
                <w:lang w:eastAsia="ru-RU"/>
              </w:rPr>
              <w:t xml:space="preserve">arty in </w:t>
            </w:r>
            <w:r w:rsidRPr="00E93C8D">
              <w:rPr>
                <w:b w:val="0"/>
                <w:i w:val="0"/>
                <w:sz w:val="20"/>
                <w:lang w:eastAsia="ru-RU"/>
              </w:rPr>
              <w:lastRenderedPageBreak/>
              <w:t>accordance with the provisions of clause 4 below – as of the date of termination;</w:t>
            </w:r>
          </w:p>
        </w:tc>
        <w:tc>
          <w:tcPr>
            <w:tcW w:w="4820" w:type="dxa"/>
            <w:gridSpan w:val="2"/>
          </w:tcPr>
          <w:p w:rsidR="00975AE5" w:rsidRPr="00E93C8D" w:rsidRDefault="00975AE5" w:rsidP="00967967">
            <w:pPr>
              <w:pStyle w:val="1"/>
              <w:keepNext w:val="0"/>
              <w:widowControl w:val="0"/>
              <w:numPr>
                <w:ilvl w:val="0"/>
                <w:numId w:val="0"/>
              </w:numPr>
              <w:spacing w:after="120"/>
              <w:outlineLvl w:val="0"/>
              <w:rPr>
                <w:b w:val="0"/>
                <w:i w:val="0"/>
                <w:sz w:val="20"/>
                <w:lang w:val="ru-RU" w:eastAsia="ru-RU"/>
              </w:rPr>
            </w:pPr>
            <w:r w:rsidRPr="00E93C8D">
              <w:rPr>
                <w:b w:val="0"/>
                <w:i w:val="0"/>
                <w:sz w:val="20"/>
                <w:lang w:val="ru-RU" w:eastAsia="ru-RU"/>
              </w:rPr>
              <w:lastRenderedPageBreak/>
              <w:t xml:space="preserve">- при одностороннем расторжении Договора одной </w:t>
            </w:r>
            <w:r w:rsidRPr="00E93C8D">
              <w:rPr>
                <w:b w:val="0"/>
                <w:i w:val="0"/>
                <w:sz w:val="20"/>
                <w:lang w:val="ru-RU" w:eastAsia="ru-RU"/>
              </w:rPr>
              <w:lastRenderedPageBreak/>
              <w:t xml:space="preserve">из </w:t>
            </w:r>
            <w:r w:rsidR="00967967" w:rsidRPr="00E93C8D">
              <w:rPr>
                <w:b w:val="0"/>
                <w:i w:val="0"/>
                <w:sz w:val="20"/>
                <w:lang w:val="ru-RU" w:eastAsia="ru-RU"/>
              </w:rPr>
              <w:t>с</w:t>
            </w:r>
            <w:r w:rsidRPr="00E93C8D">
              <w:rPr>
                <w:b w:val="0"/>
                <w:i w:val="0"/>
                <w:sz w:val="20"/>
                <w:lang w:val="ru-RU" w:eastAsia="ru-RU"/>
              </w:rPr>
              <w:t xml:space="preserve">торон в соответствии с положениями пункта 4 ниже </w:t>
            </w:r>
            <w:r w:rsidR="00B772E3" w:rsidRPr="00E93C8D">
              <w:rPr>
                <w:b w:val="0"/>
                <w:i w:val="0"/>
                <w:sz w:val="20"/>
                <w:lang w:val="ru-RU" w:eastAsia="ru-RU"/>
              </w:rPr>
              <w:t>–</w:t>
            </w:r>
            <w:r w:rsidRPr="00E93C8D">
              <w:rPr>
                <w:b w:val="0"/>
                <w:i w:val="0"/>
                <w:sz w:val="20"/>
                <w:lang w:val="ru-RU" w:eastAsia="ru-RU"/>
              </w:rPr>
              <w:t xml:space="preserve"> </w:t>
            </w:r>
            <w:r w:rsidR="00B772E3" w:rsidRPr="00E93C8D">
              <w:rPr>
                <w:b w:val="0"/>
                <w:i w:val="0"/>
                <w:sz w:val="20"/>
                <w:lang w:val="ru-RU" w:eastAsia="ru-RU"/>
              </w:rPr>
              <w:t xml:space="preserve">рассчитанные </w:t>
            </w:r>
            <w:r w:rsidRPr="00E93C8D">
              <w:rPr>
                <w:b w:val="0"/>
                <w:i w:val="0"/>
                <w:sz w:val="20"/>
                <w:lang w:val="ru-RU" w:eastAsia="ru-RU"/>
              </w:rPr>
              <w:t>на дату расторжения;</w:t>
            </w:r>
          </w:p>
        </w:tc>
      </w:tr>
      <w:tr w:rsidR="00E93C8D" w:rsidRPr="00E94258" w:rsidTr="009576BA">
        <w:trPr>
          <w:gridAfter w:val="1"/>
          <w:wAfter w:w="392" w:type="dxa"/>
        </w:trPr>
        <w:tc>
          <w:tcPr>
            <w:tcW w:w="4820" w:type="dxa"/>
            <w:gridSpan w:val="2"/>
          </w:tcPr>
          <w:p w:rsidR="00975AE5" w:rsidRPr="00E93C8D" w:rsidRDefault="00975AE5" w:rsidP="009F6FED">
            <w:pPr>
              <w:pStyle w:val="1"/>
              <w:keepNext w:val="0"/>
              <w:widowControl w:val="0"/>
              <w:numPr>
                <w:ilvl w:val="0"/>
                <w:numId w:val="0"/>
              </w:numPr>
              <w:spacing w:after="120"/>
              <w:outlineLvl w:val="0"/>
              <w:rPr>
                <w:b w:val="0"/>
                <w:i w:val="0"/>
                <w:sz w:val="20"/>
                <w:lang w:eastAsia="ru-RU"/>
              </w:rPr>
            </w:pPr>
            <w:r w:rsidRPr="00E93C8D">
              <w:rPr>
                <w:b w:val="0"/>
                <w:i w:val="0"/>
                <w:sz w:val="20"/>
                <w:lang w:eastAsia="ru-RU"/>
              </w:rPr>
              <w:lastRenderedPageBreak/>
              <w:t>- Client’s failure to provide proper conditions for performing Deloitte’s obligations under the Contract making rendering of the Services impossible – as of the date Deloitte terminates or suspends providing the Services;</w:t>
            </w:r>
          </w:p>
        </w:tc>
        <w:tc>
          <w:tcPr>
            <w:tcW w:w="4820" w:type="dxa"/>
            <w:gridSpan w:val="2"/>
          </w:tcPr>
          <w:p w:rsidR="00975AE5" w:rsidRPr="00E93C8D" w:rsidRDefault="00975AE5" w:rsidP="009F6FED">
            <w:pPr>
              <w:pStyle w:val="1"/>
              <w:keepNext w:val="0"/>
              <w:widowControl w:val="0"/>
              <w:numPr>
                <w:ilvl w:val="0"/>
                <w:numId w:val="0"/>
              </w:numPr>
              <w:spacing w:after="120"/>
              <w:outlineLvl w:val="0"/>
              <w:rPr>
                <w:b w:val="0"/>
                <w:i w:val="0"/>
                <w:sz w:val="20"/>
                <w:lang w:val="ru-RU" w:eastAsia="ru-RU"/>
              </w:rPr>
            </w:pPr>
            <w:r w:rsidRPr="00E93C8D">
              <w:rPr>
                <w:b w:val="0"/>
                <w:i w:val="0"/>
                <w:sz w:val="20"/>
                <w:lang w:val="ru-RU" w:eastAsia="ru-RU"/>
              </w:rPr>
              <w:t>- при необеспечении Клиентом надлежащих условий для выполнения Делойт обязательств по Договору, повлекшем невозможность оказания Услуг Делойт –</w:t>
            </w:r>
            <w:r w:rsidR="00B772E3" w:rsidRPr="00E93C8D">
              <w:rPr>
                <w:b w:val="0"/>
                <w:i w:val="0"/>
                <w:sz w:val="20"/>
                <w:lang w:val="ru-RU" w:eastAsia="ru-RU"/>
              </w:rPr>
              <w:t xml:space="preserve"> рассчитанные</w:t>
            </w:r>
            <w:r w:rsidRPr="00E93C8D">
              <w:rPr>
                <w:b w:val="0"/>
                <w:i w:val="0"/>
                <w:sz w:val="20"/>
                <w:lang w:val="ru-RU" w:eastAsia="ru-RU"/>
              </w:rPr>
              <w:t xml:space="preserve"> на дату прекращения или приостановления выполнения обязательств Делойт;</w:t>
            </w:r>
          </w:p>
        </w:tc>
      </w:tr>
      <w:tr w:rsidR="00E93C8D" w:rsidRPr="009576BA" w:rsidTr="009576BA">
        <w:trPr>
          <w:gridAfter w:val="1"/>
          <w:wAfter w:w="392" w:type="dxa"/>
        </w:trPr>
        <w:tc>
          <w:tcPr>
            <w:tcW w:w="4820" w:type="dxa"/>
            <w:gridSpan w:val="2"/>
          </w:tcPr>
          <w:p w:rsidR="00975AE5" w:rsidRPr="00E93C8D" w:rsidRDefault="00975AE5" w:rsidP="00967967">
            <w:pPr>
              <w:pStyle w:val="1"/>
              <w:keepNext w:val="0"/>
              <w:widowControl w:val="0"/>
              <w:numPr>
                <w:ilvl w:val="0"/>
                <w:numId w:val="0"/>
              </w:numPr>
              <w:spacing w:after="120"/>
              <w:outlineLvl w:val="0"/>
              <w:rPr>
                <w:b w:val="0"/>
                <w:i w:val="0"/>
                <w:sz w:val="20"/>
                <w:lang w:eastAsia="ru-RU"/>
              </w:rPr>
            </w:pPr>
            <w:r w:rsidRPr="00E93C8D">
              <w:rPr>
                <w:b w:val="0"/>
                <w:i w:val="0"/>
                <w:sz w:val="20"/>
                <w:lang w:eastAsia="ru-RU"/>
              </w:rPr>
              <w:t xml:space="preserve">- termination of the Contract pursuant to </w:t>
            </w:r>
            <w:r w:rsidR="00967967" w:rsidRPr="00E93C8D">
              <w:rPr>
                <w:b w:val="0"/>
                <w:i w:val="0"/>
                <w:sz w:val="20"/>
                <w:lang w:eastAsia="ru-RU"/>
              </w:rPr>
              <w:t>f</w:t>
            </w:r>
            <w:r w:rsidRPr="00E93C8D">
              <w:rPr>
                <w:b w:val="0"/>
                <w:i w:val="0"/>
                <w:sz w:val="20"/>
                <w:lang w:eastAsia="ru-RU"/>
              </w:rPr>
              <w:t xml:space="preserve">orce </w:t>
            </w:r>
            <w:r w:rsidR="00967967" w:rsidRPr="00E93C8D">
              <w:rPr>
                <w:b w:val="0"/>
                <w:i w:val="0"/>
                <w:sz w:val="20"/>
                <w:lang w:eastAsia="ru-RU"/>
              </w:rPr>
              <w:t>m</w:t>
            </w:r>
            <w:r w:rsidRPr="00E93C8D">
              <w:rPr>
                <w:b w:val="0"/>
                <w:i w:val="0"/>
                <w:sz w:val="20"/>
                <w:lang w:eastAsia="ru-RU"/>
              </w:rPr>
              <w:t>ajeure circumstances – as of the date of notification receipt;</w:t>
            </w:r>
          </w:p>
        </w:tc>
        <w:tc>
          <w:tcPr>
            <w:tcW w:w="4820" w:type="dxa"/>
            <w:gridSpan w:val="2"/>
          </w:tcPr>
          <w:p w:rsidR="00975AE5" w:rsidRPr="00E93C8D" w:rsidRDefault="00975AE5" w:rsidP="00967967">
            <w:pPr>
              <w:pStyle w:val="1"/>
              <w:keepNext w:val="0"/>
              <w:widowControl w:val="0"/>
              <w:numPr>
                <w:ilvl w:val="0"/>
                <w:numId w:val="0"/>
              </w:numPr>
              <w:spacing w:after="120"/>
              <w:outlineLvl w:val="0"/>
              <w:rPr>
                <w:b w:val="0"/>
                <w:i w:val="0"/>
                <w:sz w:val="20"/>
                <w:lang w:val="ru-RU" w:eastAsia="ru-RU"/>
              </w:rPr>
            </w:pPr>
            <w:r w:rsidRPr="00E93C8D">
              <w:rPr>
                <w:b w:val="0"/>
                <w:i w:val="0"/>
                <w:sz w:val="20"/>
                <w:lang w:val="ru-RU" w:eastAsia="ru-RU"/>
              </w:rPr>
              <w:t xml:space="preserve">- при расторжении Договора вследствие </w:t>
            </w:r>
            <w:r w:rsidR="00967967" w:rsidRPr="00E93C8D">
              <w:rPr>
                <w:b w:val="0"/>
                <w:i w:val="0"/>
                <w:sz w:val="20"/>
                <w:lang w:val="ru-RU" w:eastAsia="ru-RU"/>
              </w:rPr>
              <w:t>о</w:t>
            </w:r>
            <w:r w:rsidRPr="00E93C8D">
              <w:rPr>
                <w:b w:val="0"/>
                <w:i w:val="0"/>
                <w:sz w:val="20"/>
                <w:lang w:val="ru-RU" w:eastAsia="ru-RU"/>
              </w:rPr>
              <w:t>бстоятельств непреодолимой силы –</w:t>
            </w:r>
            <w:r w:rsidR="00B772E3" w:rsidRPr="00E93C8D">
              <w:rPr>
                <w:b w:val="0"/>
                <w:i w:val="0"/>
                <w:sz w:val="20"/>
                <w:lang w:val="ru-RU" w:eastAsia="ru-RU"/>
              </w:rPr>
              <w:t xml:space="preserve"> расчитанные</w:t>
            </w:r>
            <w:r w:rsidRPr="00E93C8D">
              <w:rPr>
                <w:b w:val="0"/>
                <w:i w:val="0"/>
                <w:sz w:val="20"/>
                <w:lang w:val="ru-RU" w:eastAsia="ru-RU"/>
              </w:rPr>
              <w:t xml:space="preserve"> на дату получения извещения;</w:t>
            </w:r>
          </w:p>
        </w:tc>
      </w:tr>
      <w:tr w:rsidR="00E93C8D" w:rsidRPr="009576BA" w:rsidTr="009576BA">
        <w:trPr>
          <w:gridAfter w:val="1"/>
          <w:wAfter w:w="392" w:type="dxa"/>
        </w:trPr>
        <w:tc>
          <w:tcPr>
            <w:tcW w:w="4820" w:type="dxa"/>
            <w:gridSpan w:val="2"/>
          </w:tcPr>
          <w:p w:rsidR="00975AE5" w:rsidRPr="00E93C8D" w:rsidRDefault="00975AE5" w:rsidP="00B772E3">
            <w:pPr>
              <w:pStyle w:val="1"/>
              <w:keepNext w:val="0"/>
              <w:widowControl w:val="0"/>
              <w:numPr>
                <w:ilvl w:val="0"/>
                <w:numId w:val="0"/>
              </w:numPr>
              <w:spacing w:after="120"/>
              <w:outlineLvl w:val="0"/>
              <w:rPr>
                <w:b w:val="0"/>
                <w:i w:val="0"/>
                <w:sz w:val="20"/>
                <w:lang w:eastAsia="ru-RU"/>
              </w:rPr>
            </w:pPr>
            <w:r w:rsidRPr="00E93C8D">
              <w:rPr>
                <w:b w:val="0"/>
                <w:i w:val="0"/>
                <w:sz w:val="20"/>
                <w:lang w:eastAsia="ru-RU"/>
              </w:rPr>
              <w:t xml:space="preserve">- </w:t>
            </w:r>
            <w:r w:rsidR="00B772E3" w:rsidRPr="00E93C8D">
              <w:rPr>
                <w:b w:val="0"/>
                <w:i w:val="0"/>
                <w:sz w:val="20"/>
                <w:lang w:eastAsia="ru-RU"/>
              </w:rPr>
              <w:t xml:space="preserve">rendering of </w:t>
            </w:r>
            <w:r w:rsidRPr="00E93C8D">
              <w:rPr>
                <w:b w:val="0"/>
                <w:i w:val="0"/>
                <w:sz w:val="20"/>
                <w:lang w:eastAsia="ru-RU"/>
              </w:rPr>
              <w:t>additional services not included in the Engagement Letter.</w:t>
            </w:r>
          </w:p>
        </w:tc>
        <w:tc>
          <w:tcPr>
            <w:tcW w:w="4820" w:type="dxa"/>
            <w:gridSpan w:val="2"/>
          </w:tcPr>
          <w:p w:rsidR="00975AE5" w:rsidRPr="00E93C8D" w:rsidRDefault="00975AE5" w:rsidP="009F6FED">
            <w:pPr>
              <w:pStyle w:val="1"/>
              <w:keepNext w:val="0"/>
              <w:widowControl w:val="0"/>
              <w:numPr>
                <w:ilvl w:val="0"/>
                <w:numId w:val="0"/>
              </w:numPr>
              <w:spacing w:after="120"/>
              <w:outlineLvl w:val="0"/>
              <w:rPr>
                <w:b w:val="0"/>
                <w:i w:val="0"/>
                <w:sz w:val="20"/>
                <w:lang w:val="ru-RU" w:eastAsia="ru-RU"/>
              </w:rPr>
            </w:pPr>
            <w:r w:rsidRPr="00E93C8D">
              <w:rPr>
                <w:b w:val="0"/>
                <w:i w:val="0"/>
                <w:sz w:val="20"/>
                <w:lang w:val="ru-RU" w:eastAsia="ru-RU"/>
              </w:rPr>
              <w:t>- при выполнении дополнительных услуг, не включенных в Соглашение.</w:t>
            </w:r>
          </w:p>
        </w:tc>
      </w:tr>
      <w:tr w:rsidR="00E93C8D" w:rsidRPr="009576BA" w:rsidTr="009576BA">
        <w:trPr>
          <w:gridAfter w:val="1"/>
          <w:wAfter w:w="392" w:type="dxa"/>
        </w:trPr>
        <w:tc>
          <w:tcPr>
            <w:tcW w:w="4820" w:type="dxa"/>
            <w:gridSpan w:val="2"/>
          </w:tcPr>
          <w:p w:rsidR="00975AE5" w:rsidRPr="00E93C8D" w:rsidRDefault="00110B7C" w:rsidP="00110B7C">
            <w:pPr>
              <w:pStyle w:val="1"/>
              <w:keepNext w:val="0"/>
              <w:widowControl w:val="0"/>
              <w:numPr>
                <w:ilvl w:val="0"/>
                <w:numId w:val="0"/>
              </w:numPr>
              <w:spacing w:after="120"/>
              <w:outlineLvl w:val="0"/>
              <w:rPr>
                <w:b w:val="0"/>
                <w:i w:val="0"/>
                <w:sz w:val="20"/>
                <w:lang w:val="en-GB"/>
              </w:rPr>
            </w:pPr>
            <w:r w:rsidRPr="00E93C8D">
              <w:rPr>
                <w:b w:val="0"/>
                <w:i w:val="0"/>
                <w:sz w:val="20"/>
                <w:lang w:eastAsia="ru-RU"/>
              </w:rPr>
              <w:t>(k)</w:t>
            </w:r>
            <w:r w:rsidR="00975AE5" w:rsidRPr="00E93C8D">
              <w:rPr>
                <w:b w:val="0"/>
                <w:i w:val="0"/>
                <w:sz w:val="20"/>
                <w:lang w:eastAsia="ru-RU"/>
              </w:rPr>
              <w:t xml:space="preserve"> Fees in cases listed in above</w:t>
            </w:r>
            <w:r w:rsidRPr="00E93C8D">
              <w:rPr>
                <w:b w:val="0"/>
                <w:i w:val="0"/>
                <w:sz w:val="20"/>
                <w:lang w:eastAsia="ru-RU"/>
              </w:rPr>
              <w:t xml:space="preserve"> Sub-Paragraph</w:t>
            </w:r>
            <w:r w:rsidR="00975AE5" w:rsidRPr="00E93C8D">
              <w:rPr>
                <w:b w:val="0"/>
                <w:i w:val="0"/>
                <w:sz w:val="20"/>
                <w:lang w:eastAsia="ru-RU"/>
              </w:rPr>
              <w:t xml:space="preserve"> </w:t>
            </w:r>
            <w:r w:rsidR="00975AE5" w:rsidRPr="00E93C8D">
              <w:rPr>
                <w:b w:val="0"/>
                <w:i w:val="0"/>
                <w:sz w:val="20"/>
                <w:lang w:val="en-GB"/>
              </w:rPr>
              <w:t xml:space="preserve">shall be calculated by </w:t>
            </w:r>
            <w:r w:rsidRPr="00E93C8D">
              <w:rPr>
                <w:b w:val="0"/>
                <w:i w:val="0"/>
                <w:sz w:val="20"/>
              </w:rPr>
              <w:t>p</w:t>
            </w:r>
            <w:r w:rsidR="00975AE5" w:rsidRPr="00E93C8D">
              <w:rPr>
                <w:b w:val="0"/>
                <w:i w:val="0"/>
                <w:sz w:val="20"/>
                <w:lang w:val="en-GB"/>
              </w:rPr>
              <w:t>arties by multiplying Deloitte specialists’ hourly rates and effective time spent by the different specialists assigned on the engagement. Time shall be determined based on the timesheets completed by Deloitte specialists.</w:t>
            </w:r>
          </w:p>
        </w:tc>
        <w:tc>
          <w:tcPr>
            <w:tcW w:w="4820" w:type="dxa"/>
            <w:gridSpan w:val="2"/>
          </w:tcPr>
          <w:p w:rsidR="00975AE5" w:rsidRPr="00E93C8D" w:rsidRDefault="00110B7C" w:rsidP="00110B7C">
            <w:pPr>
              <w:pStyle w:val="1"/>
              <w:keepNext w:val="0"/>
              <w:widowControl w:val="0"/>
              <w:numPr>
                <w:ilvl w:val="0"/>
                <w:numId w:val="0"/>
              </w:numPr>
              <w:spacing w:after="120"/>
              <w:outlineLvl w:val="0"/>
              <w:rPr>
                <w:b w:val="0"/>
                <w:i w:val="0"/>
                <w:sz w:val="20"/>
                <w:lang w:val="ru-RU" w:eastAsia="ru-RU"/>
              </w:rPr>
            </w:pPr>
            <w:r w:rsidRPr="00E93C8D">
              <w:rPr>
                <w:b w:val="0"/>
                <w:i w:val="0"/>
                <w:sz w:val="20"/>
                <w:lang w:val="ru-RU" w:eastAsia="ru-RU"/>
              </w:rPr>
              <w:t>(</w:t>
            </w:r>
            <w:r w:rsidRPr="00E93C8D">
              <w:rPr>
                <w:b w:val="0"/>
                <w:i w:val="0"/>
                <w:sz w:val="20"/>
                <w:lang w:eastAsia="ru-RU"/>
              </w:rPr>
              <w:t>k</w:t>
            </w:r>
            <w:r w:rsidRPr="00E93C8D">
              <w:rPr>
                <w:b w:val="0"/>
                <w:i w:val="0"/>
                <w:sz w:val="20"/>
                <w:lang w:val="ru-RU" w:eastAsia="ru-RU"/>
              </w:rPr>
              <w:t>)</w:t>
            </w:r>
            <w:r w:rsidR="00975AE5" w:rsidRPr="00E93C8D">
              <w:rPr>
                <w:b w:val="0"/>
                <w:i w:val="0"/>
                <w:sz w:val="20"/>
                <w:lang w:val="ru-RU" w:eastAsia="ru-RU"/>
              </w:rPr>
              <w:t xml:space="preserve"> Вознаграждение в случаях, перечисленных в </w:t>
            </w:r>
            <w:r w:rsidRPr="00E93C8D">
              <w:rPr>
                <w:b w:val="0"/>
                <w:i w:val="0"/>
                <w:sz w:val="20"/>
                <w:lang w:val="ru-RU" w:eastAsia="ru-RU"/>
              </w:rPr>
              <w:t>пункте</w:t>
            </w:r>
            <w:r w:rsidR="00975AE5" w:rsidRPr="00E93C8D">
              <w:rPr>
                <w:b w:val="0"/>
                <w:i w:val="0"/>
                <w:sz w:val="20"/>
                <w:lang w:val="ru-RU" w:eastAsia="ru-RU"/>
              </w:rPr>
              <w:t xml:space="preserve"> выше, должно быть рассчитано </w:t>
            </w:r>
            <w:r w:rsidRPr="00E93C8D">
              <w:rPr>
                <w:b w:val="0"/>
                <w:i w:val="0"/>
                <w:sz w:val="20"/>
                <w:lang w:eastAsia="ru-RU"/>
              </w:rPr>
              <w:t>c</w:t>
            </w:r>
            <w:r w:rsidR="00975AE5" w:rsidRPr="00E93C8D">
              <w:rPr>
                <w:b w:val="0"/>
                <w:i w:val="0"/>
                <w:sz w:val="20"/>
                <w:lang w:val="ru-RU" w:eastAsia="ru-RU"/>
              </w:rPr>
              <w:t>торонами путем умножения почасовых ставок специалистов Делойт на фактическое время, затраченное специалистами Делойт на оказание Услуг по настоящему Соглашению. Фактическое время, затраченное специалистами Делойт, определяется на основании табелей рабочего времени, заполненных специалистами Делойт.</w:t>
            </w:r>
          </w:p>
        </w:tc>
      </w:tr>
      <w:tr w:rsidR="00E93C8D" w:rsidRPr="009576BA" w:rsidTr="009576BA">
        <w:trPr>
          <w:gridAfter w:val="1"/>
          <w:wAfter w:w="392" w:type="dxa"/>
        </w:trPr>
        <w:tc>
          <w:tcPr>
            <w:tcW w:w="4820" w:type="dxa"/>
            <w:gridSpan w:val="2"/>
          </w:tcPr>
          <w:p w:rsidR="00975AE5" w:rsidRPr="00E93C8D" w:rsidRDefault="00975AE5" w:rsidP="00F55CF0">
            <w:pPr>
              <w:widowControl w:val="0"/>
              <w:spacing w:after="120"/>
              <w:rPr>
                <w:sz w:val="20"/>
              </w:rPr>
            </w:pPr>
            <w:r w:rsidRPr="00E93C8D">
              <w:rPr>
                <w:sz w:val="20"/>
                <w:lang w:val="en-GB"/>
              </w:rPr>
              <w:t xml:space="preserve">Hourly rates of Deloitte specialists are </w:t>
            </w:r>
            <w:r w:rsidRPr="00E93C8D">
              <w:rPr>
                <w:sz w:val="20"/>
              </w:rPr>
              <w:t>based on the level of technical knowledge and experience and are varied</w:t>
            </w:r>
            <w:r w:rsidR="00F40BF1" w:rsidRPr="00E93C8D">
              <w:rPr>
                <w:sz w:val="20"/>
              </w:rPr>
              <w:t xml:space="preserve"> RUB</w:t>
            </w:r>
            <w:r w:rsidRPr="00E93C8D">
              <w:rPr>
                <w:sz w:val="20"/>
              </w:rPr>
              <w:t xml:space="preserve"> </w:t>
            </w:r>
            <w:r w:rsidR="00D364F2" w:rsidRPr="00E93C8D">
              <w:rPr>
                <w:sz w:val="20"/>
              </w:rPr>
              <w:t xml:space="preserve">from </w:t>
            </w:r>
            <w:r w:rsidR="00D364F2" w:rsidRPr="00E93C8D">
              <w:rPr>
                <w:rStyle w:val="af9"/>
                <w:color w:val="auto"/>
                <w:sz w:val="20"/>
              </w:rPr>
              <w:t>10,500 to 60,000</w:t>
            </w:r>
            <w:r w:rsidRPr="00E93C8D">
              <w:rPr>
                <w:sz w:val="20"/>
              </w:rPr>
              <w:t>.</w:t>
            </w:r>
          </w:p>
        </w:tc>
        <w:tc>
          <w:tcPr>
            <w:tcW w:w="4820" w:type="dxa"/>
            <w:gridSpan w:val="2"/>
          </w:tcPr>
          <w:p w:rsidR="00975AE5" w:rsidRPr="00E93C8D" w:rsidRDefault="00975AE5" w:rsidP="001E12D5">
            <w:pPr>
              <w:widowControl w:val="0"/>
              <w:spacing w:after="120"/>
              <w:rPr>
                <w:sz w:val="20"/>
                <w:lang w:val="ru-RU"/>
              </w:rPr>
            </w:pPr>
            <w:r w:rsidRPr="00E93C8D">
              <w:rPr>
                <w:sz w:val="20"/>
                <w:lang w:val="ru-RU"/>
              </w:rPr>
              <w:t>Почасовые ставки специалистов Делойт зависят от уровня профессиональных знаний и опыта специалиста и варьируются</w:t>
            </w:r>
            <w:r w:rsidR="00D364F2" w:rsidRPr="00E93C8D">
              <w:rPr>
                <w:sz w:val="20"/>
                <w:lang w:val="ru-RU"/>
              </w:rPr>
              <w:t xml:space="preserve"> от</w:t>
            </w:r>
            <w:r w:rsidRPr="00E93C8D">
              <w:rPr>
                <w:sz w:val="20"/>
                <w:lang w:val="ru-RU"/>
              </w:rPr>
              <w:t xml:space="preserve"> </w:t>
            </w:r>
            <w:r w:rsidR="00D364F2" w:rsidRPr="00E93C8D">
              <w:rPr>
                <w:rStyle w:val="af9"/>
                <w:color w:val="auto"/>
                <w:sz w:val="20"/>
                <w:lang w:val="ru-RU"/>
              </w:rPr>
              <w:t>10,500 до 60,000</w:t>
            </w:r>
            <w:r w:rsidRPr="00E93C8D">
              <w:rPr>
                <w:sz w:val="20"/>
                <w:lang w:val="ru-RU"/>
              </w:rPr>
              <w:t xml:space="preserve"> российских рублей.</w:t>
            </w:r>
          </w:p>
        </w:tc>
      </w:tr>
      <w:tr w:rsidR="00E93C8D" w:rsidRPr="009576BA" w:rsidTr="009576BA">
        <w:trPr>
          <w:gridAfter w:val="1"/>
          <w:wAfter w:w="392" w:type="dxa"/>
        </w:trPr>
        <w:tc>
          <w:tcPr>
            <w:tcW w:w="4820" w:type="dxa"/>
            <w:gridSpan w:val="2"/>
          </w:tcPr>
          <w:p w:rsidR="00975AE5" w:rsidRPr="00E93C8D" w:rsidRDefault="00975AE5" w:rsidP="00F55CF0">
            <w:pPr>
              <w:widowControl w:val="0"/>
              <w:spacing w:after="120"/>
              <w:rPr>
                <w:sz w:val="20"/>
              </w:rPr>
            </w:pPr>
            <w:r w:rsidRPr="00E93C8D">
              <w:rPr>
                <w:sz w:val="20"/>
              </w:rPr>
              <w:t xml:space="preserve">The hourly rates above are valid through May 31, </w:t>
            </w:r>
            <w:r w:rsidR="00D364F2" w:rsidRPr="00E93C8D">
              <w:rPr>
                <w:sz w:val="20"/>
              </w:rPr>
              <w:t>2017</w:t>
            </w:r>
            <w:r w:rsidRPr="00E93C8D">
              <w:rPr>
                <w:sz w:val="20"/>
              </w:rPr>
              <w:t xml:space="preserve"> inclusive.</w:t>
            </w:r>
          </w:p>
        </w:tc>
        <w:tc>
          <w:tcPr>
            <w:tcW w:w="4820" w:type="dxa"/>
            <w:gridSpan w:val="2"/>
          </w:tcPr>
          <w:p w:rsidR="00975AE5" w:rsidRPr="00E93C8D" w:rsidRDefault="00975AE5" w:rsidP="00F55CF0">
            <w:pPr>
              <w:widowControl w:val="0"/>
              <w:spacing w:after="120"/>
              <w:rPr>
                <w:sz w:val="20"/>
                <w:lang w:val="ru-RU"/>
              </w:rPr>
            </w:pPr>
            <w:r w:rsidRPr="00E93C8D">
              <w:rPr>
                <w:sz w:val="20"/>
                <w:lang w:val="ru-RU"/>
              </w:rPr>
              <w:t xml:space="preserve">Почасовые ставки действительны по 31 мая </w:t>
            </w:r>
            <w:r w:rsidR="00D364F2" w:rsidRPr="00E93C8D">
              <w:rPr>
                <w:sz w:val="20"/>
                <w:lang w:val="ru-RU"/>
              </w:rPr>
              <w:t>2017</w:t>
            </w:r>
            <w:r w:rsidRPr="00E93C8D">
              <w:rPr>
                <w:sz w:val="20"/>
                <w:lang w:val="ru-RU"/>
              </w:rPr>
              <w:t xml:space="preserve"> года включительно.</w:t>
            </w:r>
          </w:p>
        </w:tc>
      </w:tr>
      <w:tr w:rsidR="00E93C8D" w:rsidRPr="00E93C8D" w:rsidTr="009576BA">
        <w:trPr>
          <w:gridAfter w:val="1"/>
          <w:wAfter w:w="392" w:type="dxa"/>
        </w:trPr>
        <w:tc>
          <w:tcPr>
            <w:tcW w:w="4820" w:type="dxa"/>
            <w:gridSpan w:val="2"/>
          </w:tcPr>
          <w:p w:rsidR="00975AE5" w:rsidRPr="00E93C8D" w:rsidRDefault="00975AE5" w:rsidP="00EE5800">
            <w:pPr>
              <w:pStyle w:val="1"/>
              <w:keepNext w:val="0"/>
              <w:widowControl w:val="0"/>
              <w:numPr>
                <w:ilvl w:val="0"/>
                <w:numId w:val="0"/>
              </w:numPr>
              <w:spacing w:after="120"/>
              <w:outlineLvl w:val="0"/>
              <w:rPr>
                <w:i w:val="0"/>
                <w:sz w:val="20"/>
              </w:rPr>
            </w:pPr>
            <w:r w:rsidRPr="00E93C8D">
              <w:rPr>
                <w:i w:val="0"/>
                <w:sz w:val="20"/>
              </w:rPr>
              <w:t>3.</w:t>
            </w:r>
            <w:r w:rsidR="00EE5800" w:rsidRPr="00E93C8D">
              <w:rPr>
                <w:i w:val="0"/>
                <w:sz w:val="20"/>
              </w:rPr>
              <w:t>1</w:t>
            </w:r>
            <w:r w:rsidRPr="00E93C8D">
              <w:rPr>
                <w:i w:val="0"/>
                <w:sz w:val="20"/>
              </w:rPr>
              <w:t>. Taxes</w:t>
            </w:r>
          </w:p>
        </w:tc>
        <w:tc>
          <w:tcPr>
            <w:tcW w:w="4820" w:type="dxa"/>
            <w:gridSpan w:val="2"/>
          </w:tcPr>
          <w:p w:rsidR="00975AE5" w:rsidRPr="00E93C8D" w:rsidRDefault="00975AE5" w:rsidP="00EE5800">
            <w:pPr>
              <w:pStyle w:val="1"/>
              <w:keepNext w:val="0"/>
              <w:widowControl w:val="0"/>
              <w:numPr>
                <w:ilvl w:val="0"/>
                <w:numId w:val="0"/>
              </w:numPr>
              <w:spacing w:after="120"/>
              <w:outlineLvl w:val="0"/>
              <w:rPr>
                <w:i w:val="0"/>
                <w:sz w:val="20"/>
                <w:lang w:val="ru-RU"/>
              </w:rPr>
            </w:pPr>
            <w:r w:rsidRPr="00E93C8D">
              <w:rPr>
                <w:i w:val="0"/>
                <w:sz w:val="20"/>
              </w:rPr>
              <w:t>3.</w:t>
            </w:r>
            <w:r w:rsidR="00EE5800" w:rsidRPr="00E93C8D">
              <w:rPr>
                <w:i w:val="0"/>
                <w:sz w:val="20"/>
              </w:rPr>
              <w:t>1</w:t>
            </w:r>
            <w:r w:rsidRPr="00E93C8D">
              <w:rPr>
                <w:i w:val="0"/>
                <w:sz w:val="20"/>
              </w:rPr>
              <w:t xml:space="preserve">. </w:t>
            </w:r>
            <w:r w:rsidRPr="00E93C8D">
              <w:rPr>
                <w:i w:val="0"/>
                <w:sz w:val="20"/>
                <w:lang w:val="ru-RU"/>
              </w:rPr>
              <w:t>Налогообложение</w:t>
            </w:r>
          </w:p>
        </w:tc>
      </w:tr>
      <w:tr w:rsidR="00E93C8D" w:rsidRPr="009576BA" w:rsidTr="009576BA">
        <w:trPr>
          <w:gridAfter w:val="1"/>
          <w:wAfter w:w="392" w:type="dxa"/>
        </w:trPr>
        <w:tc>
          <w:tcPr>
            <w:tcW w:w="4820" w:type="dxa"/>
            <w:gridSpan w:val="2"/>
          </w:tcPr>
          <w:p w:rsidR="00332B81" w:rsidRPr="00E93C8D" w:rsidRDefault="00EE13F2" w:rsidP="00EE13F2">
            <w:pPr>
              <w:widowControl w:val="0"/>
              <w:spacing w:after="120"/>
              <w:rPr>
                <w:b/>
                <w:sz w:val="20"/>
              </w:rPr>
            </w:pPr>
            <w:r w:rsidRPr="00E93C8D">
              <w:rPr>
                <w:sz w:val="20"/>
              </w:rPr>
              <w:t>(a)</w:t>
            </w:r>
            <w:r w:rsidR="00332B81" w:rsidRPr="00E93C8D">
              <w:rPr>
                <w:sz w:val="20"/>
              </w:rPr>
              <w:t xml:space="preserve"> All payments agreed by the Parties are exclusive of value added tax (hereinafter – “VAT”). Deloitte fees are subject to 18 percent VAT. Deloitte shall charge VAT on top of the cost of the Services and shall issue invoices and Services’ Acceptance Acts with VAT indicated separately.  </w:t>
            </w:r>
          </w:p>
        </w:tc>
        <w:tc>
          <w:tcPr>
            <w:tcW w:w="4820" w:type="dxa"/>
            <w:gridSpan w:val="2"/>
          </w:tcPr>
          <w:p w:rsidR="00332B81" w:rsidRPr="00E93C8D" w:rsidRDefault="00EE13F2" w:rsidP="009F6FED">
            <w:pPr>
              <w:widowControl w:val="0"/>
              <w:spacing w:after="120"/>
              <w:rPr>
                <w:sz w:val="20"/>
                <w:lang w:val="ru-RU"/>
              </w:rPr>
            </w:pPr>
            <w:r w:rsidRPr="00E93C8D">
              <w:rPr>
                <w:sz w:val="20"/>
                <w:lang w:val="ru-RU"/>
              </w:rPr>
              <w:t>(</w:t>
            </w:r>
            <w:r w:rsidRPr="00E93C8D">
              <w:rPr>
                <w:sz w:val="20"/>
              </w:rPr>
              <w:t>a</w:t>
            </w:r>
            <w:r w:rsidRPr="00E93C8D">
              <w:rPr>
                <w:sz w:val="20"/>
                <w:lang w:val="ru-RU"/>
              </w:rPr>
              <w:t>)</w:t>
            </w:r>
            <w:r w:rsidR="00332B81" w:rsidRPr="00E93C8D">
              <w:rPr>
                <w:sz w:val="20"/>
                <w:lang w:val="ru-RU"/>
              </w:rPr>
              <w:t xml:space="preserve"> Суммы, согласованные Сторонами, не включают налог на добавленную стоимость (далее – «НДС»). Стоимость Услуг Делойт облагается НДС по ставке 18 (восемнадцать) процентов. Делойт начисляет НДС на стоимость Услуг и выставляет счета и акты сдачи-приемки услуг с указанием НДС отдельной строкой. </w:t>
            </w:r>
          </w:p>
        </w:tc>
      </w:tr>
      <w:tr w:rsidR="00E93C8D" w:rsidRPr="009576BA" w:rsidTr="009576BA">
        <w:trPr>
          <w:gridAfter w:val="1"/>
          <w:wAfter w:w="392" w:type="dxa"/>
        </w:trPr>
        <w:tc>
          <w:tcPr>
            <w:tcW w:w="4820" w:type="dxa"/>
            <w:gridSpan w:val="2"/>
          </w:tcPr>
          <w:p w:rsidR="00332B81" w:rsidRPr="00E93C8D" w:rsidRDefault="00EE13F2" w:rsidP="009F6FED">
            <w:pPr>
              <w:pStyle w:val="23"/>
              <w:widowControl w:val="0"/>
              <w:spacing w:after="120"/>
            </w:pPr>
            <w:r w:rsidRPr="00E93C8D">
              <w:rPr>
                <w:lang w:val="en-US"/>
              </w:rPr>
              <w:t>(b)</w:t>
            </w:r>
            <w:r w:rsidR="00332B81" w:rsidRPr="00E93C8D">
              <w:t xml:space="preserve"> In case tax legislation changes in the part of VAT rates and other taxes, new tax rates shall apply according to these changes.</w:t>
            </w:r>
          </w:p>
        </w:tc>
        <w:tc>
          <w:tcPr>
            <w:tcW w:w="4820" w:type="dxa"/>
            <w:gridSpan w:val="2"/>
          </w:tcPr>
          <w:p w:rsidR="00332B81" w:rsidRPr="00E93C8D" w:rsidRDefault="00EE13F2" w:rsidP="009F6FED">
            <w:pPr>
              <w:pStyle w:val="23"/>
              <w:widowControl w:val="0"/>
              <w:spacing w:after="120"/>
              <w:rPr>
                <w:lang w:val="ru-RU"/>
              </w:rPr>
            </w:pPr>
            <w:r w:rsidRPr="00E93C8D">
              <w:rPr>
                <w:lang w:val="ru-RU"/>
              </w:rPr>
              <w:t>(</w:t>
            </w:r>
            <w:r w:rsidRPr="00E93C8D">
              <w:rPr>
                <w:lang w:val="en-US"/>
              </w:rPr>
              <w:t>b</w:t>
            </w:r>
            <w:r w:rsidRPr="00E93C8D">
              <w:rPr>
                <w:lang w:val="ru-RU"/>
              </w:rPr>
              <w:t>)</w:t>
            </w:r>
            <w:r w:rsidR="00332B81" w:rsidRPr="00E93C8D">
              <w:rPr>
                <w:lang w:val="ru-RU"/>
              </w:rPr>
              <w:t xml:space="preserve"> В случае изменения налогового законодательства виды и ставки налогов будут применяться в соответствии с такими изменениями.</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i w:val="0"/>
                <w:sz w:val="20"/>
              </w:rPr>
            </w:pPr>
            <w:r w:rsidRPr="00E93C8D">
              <w:rPr>
                <w:bCs/>
                <w:i w:val="0"/>
                <w:sz w:val="20"/>
                <w:lang w:val="ru-RU"/>
              </w:rPr>
              <w:t xml:space="preserve">4. </w:t>
            </w:r>
            <w:r w:rsidRPr="00E93C8D">
              <w:rPr>
                <w:bCs/>
                <w:i w:val="0"/>
                <w:sz w:val="20"/>
              </w:rPr>
              <w:t>Term</w:t>
            </w:r>
            <w:r w:rsidRPr="00E93C8D">
              <w:rPr>
                <w:i w:val="0"/>
                <w:sz w:val="20"/>
              </w:rPr>
              <w:t xml:space="preserve">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rPr>
            </w:pPr>
            <w:r w:rsidRPr="00E93C8D">
              <w:rPr>
                <w:i w:val="0"/>
                <w:sz w:val="20"/>
              </w:rPr>
              <w:t>4. Срок действия</w:t>
            </w:r>
          </w:p>
        </w:tc>
      </w:tr>
      <w:tr w:rsidR="00E93C8D" w:rsidRPr="00E94258" w:rsidTr="009576BA">
        <w:trPr>
          <w:gridAfter w:val="1"/>
          <w:wAfter w:w="392" w:type="dxa"/>
        </w:trPr>
        <w:tc>
          <w:tcPr>
            <w:tcW w:w="4820" w:type="dxa"/>
            <w:gridSpan w:val="2"/>
          </w:tcPr>
          <w:p w:rsidR="00975AE5" w:rsidRPr="00E93C8D" w:rsidRDefault="00975AE5" w:rsidP="00F3113B">
            <w:pPr>
              <w:pStyle w:val="1"/>
              <w:keepNext w:val="0"/>
              <w:widowControl w:val="0"/>
              <w:numPr>
                <w:ilvl w:val="0"/>
                <w:numId w:val="0"/>
              </w:numPr>
              <w:spacing w:after="120"/>
              <w:outlineLvl w:val="0"/>
              <w:rPr>
                <w:b w:val="0"/>
                <w:i w:val="0"/>
                <w:sz w:val="20"/>
              </w:rPr>
            </w:pPr>
            <w:r w:rsidRPr="00E93C8D">
              <w:rPr>
                <w:b w:val="0"/>
                <w:i w:val="0"/>
                <w:sz w:val="20"/>
              </w:rPr>
              <w:t xml:space="preserve">(a) </w:t>
            </w:r>
            <w:r w:rsidR="00F3113B" w:rsidRPr="00E93C8D">
              <w:rPr>
                <w:b w:val="0"/>
                <w:i w:val="0"/>
                <w:sz w:val="20"/>
              </w:rPr>
              <w:t>The</w:t>
            </w:r>
            <w:r w:rsidRPr="00E93C8D">
              <w:rPr>
                <w:b w:val="0"/>
                <w:i w:val="0"/>
                <w:sz w:val="20"/>
              </w:rPr>
              <w:t xml:space="preserve"> Contract</w:t>
            </w:r>
            <w:r w:rsidR="00F3113B" w:rsidRPr="00E93C8D">
              <w:rPr>
                <w:b w:val="0"/>
                <w:i w:val="0"/>
                <w:sz w:val="20"/>
              </w:rPr>
              <w:t xml:space="preserve"> or any Addendum</w:t>
            </w:r>
            <w:r w:rsidRPr="00E93C8D">
              <w:rPr>
                <w:b w:val="0"/>
                <w:i w:val="0"/>
                <w:sz w:val="20"/>
              </w:rPr>
              <w:t xml:space="preserve"> may be terminated by either </w:t>
            </w:r>
            <w:r w:rsidR="00F3113B" w:rsidRPr="00E93C8D">
              <w:rPr>
                <w:b w:val="0"/>
                <w:i w:val="0"/>
                <w:sz w:val="20"/>
              </w:rPr>
              <w:t>p</w:t>
            </w:r>
            <w:r w:rsidRPr="00E93C8D">
              <w:rPr>
                <w:b w:val="0"/>
                <w:i w:val="0"/>
                <w:sz w:val="20"/>
              </w:rPr>
              <w:t xml:space="preserve">arty at any time, without cause, by giving written notice to the other </w:t>
            </w:r>
            <w:r w:rsidR="00F3113B" w:rsidRPr="00E93C8D">
              <w:rPr>
                <w:b w:val="0"/>
                <w:i w:val="0"/>
                <w:sz w:val="20"/>
              </w:rPr>
              <w:t>p</w:t>
            </w:r>
            <w:r w:rsidRPr="00E93C8D">
              <w:rPr>
                <w:b w:val="0"/>
                <w:i w:val="0"/>
                <w:sz w:val="20"/>
              </w:rPr>
              <w:t>arty not less than 7 business days before th</w:t>
            </w:r>
            <w:r w:rsidR="00F3113B" w:rsidRPr="00E93C8D">
              <w:rPr>
                <w:b w:val="0"/>
                <w:i w:val="0"/>
                <w:sz w:val="20"/>
              </w:rPr>
              <w:t>e effective date of termination</w:t>
            </w:r>
            <w:r w:rsidRPr="00E93C8D">
              <w:rPr>
                <w:b w:val="0"/>
                <w:i w:val="0"/>
                <w:sz w:val="20"/>
              </w:rPr>
              <w:t xml:space="preserve">.  </w:t>
            </w:r>
          </w:p>
        </w:tc>
        <w:tc>
          <w:tcPr>
            <w:tcW w:w="4820" w:type="dxa"/>
            <w:gridSpan w:val="2"/>
          </w:tcPr>
          <w:p w:rsidR="00975AE5" w:rsidRPr="00E93C8D" w:rsidRDefault="00975AE5" w:rsidP="00692863">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a</w:t>
            </w:r>
            <w:r w:rsidRPr="00E93C8D">
              <w:rPr>
                <w:b w:val="0"/>
                <w:i w:val="0"/>
                <w:sz w:val="20"/>
                <w:lang w:val="ru-RU"/>
              </w:rPr>
              <w:t>) Договор</w:t>
            </w:r>
            <w:r w:rsidR="00F3113B" w:rsidRPr="00E93C8D">
              <w:rPr>
                <w:b w:val="0"/>
                <w:i w:val="0"/>
                <w:sz w:val="20"/>
                <w:lang w:val="ru-RU"/>
              </w:rPr>
              <w:t xml:space="preserve"> или Дополнительное соглашение</w:t>
            </w:r>
            <w:r w:rsidRPr="00E93C8D">
              <w:rPr>
                <w:b w:val="0"/>
                <w:i w:val="0"/>
                <w:sz w:val="20"/>
                <w:lang w:val="ru-RU"/>
              </w:rPr>
              <w:t xml:space="preserve"> может быть расторгнут</w:t>
            </w:r>
            <w:r w:rsidR="00692863" w:rsidRPr="00E93C8D">
              <w:rPr>
                <w:b w:val="0"/>
                <w:i w:val="0"/>
                <w:sz w:val="20"/>
                <w:lang w:val="ru-RU"/>
              </w:rPr>
              <w:t>о</w:t>
            </w:r>
            <w:r w:rsidRPr="00E93C8D">
              <w:rPr>
                <w:b w:val="0"/>
                <w:i w:val="0"/>
                <w:sz w:val="20"/>
                <w:lang w:val="ru-RU"/>
              </w:rPr>
              <w:t xml:space="preserve"> любой из сторон в любое время, независимо от отсутствия оснований, путем направления письменного уведомления другой стороне не менее, чем за 7 (семь) дней до даты расторжения.</w:t>
            </w:r>
          </w:p>
        </w:tc>
      </w:tr>
      <w:tr w:rsidR="00E93C8D" w:rsidRPr="00E94258" w:rsidTr="009576BA">
        <w:trPr>
          <w:gridAfter w:val="1"/>
          <w:wAfter w:w="392" w:type="dxa"/>
        </w:trPr>
        <w:tc>
          <w:tcPr>
            <w:tcW w:w="4820" w:type="dxa"/>
            <w:gridSpan w:val="2"/>
          </w:tcPr>
          <w:p w:rsidR="00F3113B" w:rsidRPr="00E93C8D" w:rsidRDefault="00F3113B" w:rsidP="00F3113B">
            <w:pPr>
              <w:pStyle w:val="1"/>
              <w:keepNext w:val="0"/>
              <w:widowControl w:val="0"/>
              <w:numPr>
                <w:ilvl w:val="0"/>
                <w:numId w:val="0"/>
              </w:numPr>
              <w:spacing w:after="120"/>
              <w:outlineLvl w:val="0"/>
              <w:rPr>
                <w:b w:val="0"/>
                <w:i w:val="0"/>
                <w:sz w:val="20"/>
              </w:rPr>
            </w:pPr>
            <w:r w:rsidRPr="00E93C8D">
              <w:rPr>
                <w:b w:val="0"/>
                <w:i w:val="0"/>
                <w:sz w:val="20"/>
              </w:rPr>
              <w:t xml:space="preserve">(b) Either party may terminate the Contract or any Addendum by written notice to the other party on or at any time after the occurrence of any of the following events:  (i) a material breach by the other party of an obligation under the Contract or any Addendum and, if the breach is capable of remedy, the defaulting party failing to remedy the breach within 30 days of receipt of notice of such breach, (ii) the other party becoming insolvent, (iii) the other party having a resolution passed or a petition presented for its winding-up or dissolution (other than for the purpose of a solvent amalgamation or reconstruction), (iv) the making of an administration order in relation to the other party, or the appointment of a receiver over, or an encumbrancer taking possession of </w:t>
            </w:r>
            <w:r w:rsidRPr="00E93C8D">
              <w:rPr>
                <w:b w:val="0"/>
                <w:i w:val="0"/>
                <w:sz w:val="20"/>
              </w:rPr>
              <w:lastRenderedPageBreak/>
              <w:t>or selling, an asset of the other party, (v) the other party making an arrangement or composition with its creditors generally or making an application to a court of competent jurisdiction for protection from its creditors generally, or (vi) any event analogous to those set out in (ii) to (v) in any relevant jurisdiction.</w:t>
            </w:r>
          </w:p>
        </w:tc>
        <w:tc>
          <w:tcPr>
            <w:tcW w:w="4820" w:type="dxa"/>
            <w:gridSpan w:val="2"/>
          </w:tcPr>
          <w:p w:rsidR="00F3113B" w:rsidRPr="00E93C8D" w:rsidRDefault="00F3113B" w:rsidP="000A14D4">
            <w:pPr>
              <w:pStyle w:val="1"/>
              <w:keepNext w:val="0"/>
              <w:widowControl w:val="0"/>
              <w:numPr>
                <w:ilvl w:val="0"/>
                <w:numId w:val="0"/>
              </w:numPr>
              <w:spacing w:after="120"/>
              <w:outlineLvl w:val="0"/>
              <w:rPr>
                <w:b w:val="0"/>
                <w:i w:val="0"/>
                <w:sz w:val="20"/>
                <w:lang w:val="ru-RU"/>
              </w:rPr>
            </w:pPr>
            <w:r w:rsidRPr="00E93C8D">
              <w:rPr>
                <w:b w:val="0"/>
                <w:i w:val="0"/>
                <w:sz w:val="20"/>
                <w:lang w:val="ru-RU"/>
              </w:rPr>
              <w:lastRenderedPageBreak/>
              <w:t>(</w:t>
            </w:r>
            <w:r w:rsidRPr="00E93C8D">
              <w:rPr>
                <w:b w:val="0"/>
                <w:i w:val="0"/>
                <w:sz w:val="20"/>
              </w:rPr>
              <w:t>b</w:t>
            </w:r>
            <w:r w:rsidRPr="00E93C8D">
              <w:rPr>
                <w:b w:val="0"/>
                <w:i w:val="0"/>
                <w:sz w:val="20"/>
                <w:lang w:val="ru-RU"/>
              </w:rPr>
              <w:t>) Любая из сторон может расторгнуть Договор или Дополнительное соглашение путем направления письменного уведомления другой стороне при наступлении следующих событий:</w:t>
            </w:r>
            <w:r w:rsidR="005146D3" w:rsidRPr="00E93C8D">
              <w:rPr>
                <w:b w:val="0"/>
                <w:i w:val="0"/>
                <w:sz w:val="20"/>
                <w:lang w:val="ru-RU"/>
              </w:rPr>
              <w:t xml:space="preserve"> (</w:t>
            </w:r>
            <w:r w:rsidR="005146D3" w:rsidRPr="00E93C8D">
              <w:rPr>
                <w:b w:val="0"/>
                <w:i w:val="0"/>
                <w:sz w:val="20"/>
              </w:rPr>
              <w:t>i</w:t>
            </w:r>
            <w:r w:rsidR="005146D3" w:rsidRPr="00E93C8D">
              <w:rPr>
                <w:b w:val="0"/>
                <w:i w:val="0"/>
                <w:sz w:val="20"/>
                <w:lang w:val="ru-RU"/>
              </w:rPr>
              <w:t>)</w:t>
            </w:r>
            <w:r w:rsidRPr="00E93C8D">
              <w:rPr>
                <w:b w:val="0"/>
                <w:i w:val="0"/>
                <w:sz w:val="20"/>
                <w:lang w:val="ru-RU"/>
              </w:rPr>
              <w:t xml:space="preserve"> </w:t>
            </w:r>
            <w:r w:rsidR="005146D3" w:rsidRPr="00E93C8D">
              <w:rPr>
                <w:b w:val="0"/>
                <w:i w:val="0"/>
                <w:sz w:val="20"/>
                <w:lang w:val="ru-RU"/>
              </w:rPr>
              <w:t>нарушени</w:t>
            </w:r>
            <w:r w:rsidR="000A14D4" w:rsidRPr="00E93C8D">
              <w:rPr>
                <w:b w:val="0"/>
                <w:i w:val="0"/>
                <w:sz w:val="20"/>
                <w:lang w:val="ru-RU"/>
              </w:rPr>
              <w:t>е</w:t>
            </w:r>
            <w:r w:rsidR="005146D3" w:rsidRPr="00E93C8D">
              <w:rPr>
                <w:b w:val="0"/>
                <w:i w:val="0"/>
                <w:sz w:val="20"/>
                <w:lang w:val="ru-RU"/>
              </w:rPr>
              <w:t xml:space="preserve"> другой стороной обязательств по Договору или Дополнительному соглашению, а в случае, если нарушение может быть устранено, </w:t>
            </w:r>
            <w:r w:rsidR="006A28C3" w:rsidRPr="00E93C8D">
              <w:rPr>
                <w:b w:val="0"/>
                <w:i w:val="0"/>
                <w:sz w:val="20"/>
                <w:lang w:val="ru-RU"/>
              </w:rPr>
              <w:t>отсутствие</w:t>
            </w:r>
            <w:r w:rsidR="006F4DFB" w:rsidRPr="00E93C8D">
              <w:rPr>
                <w:b w:val="0"/>
                <w:i w:val="0"/>
                <w:sz w:val="20"/>
                <w:lang w:val="ru-RU"/>
              </w:rPr>
              <w:t xml:space="preserve"> устранения нарушения в течение 30 (тридцати) дней с момента получения уведомления о нарушении, (</w:t>
            </w:r>
            <w:r w:rsidR="006F4DFB" w:rsidRPr="00E93C8D">
              <w:rPr>
                <w:b w:val="0"/>
                <w:i w:val="0"/>
                <w:sz w:val="20"/>
              </w:rPr>
              <w:t>ii</w:t>
            </w:r>
            <w:r w:rsidR="006F4DFB" w:rsidRPr="00E93C8D">
              <w:rPr>
                <w:b w:val="0"/>
                <w:i w:val="0"/>
                <w:sz w:val="20"/>
                <w:lang w:val="ru-RU"/>
              </w:rPr>
              <w:t>)</w:t>
            </w:r>
            <w:r w:rsidR="00CD0712" w:rsidRPr="00E93C8D">
              <w:rPr>
                <w:b w:val="0"/>
                <w:i w:val="0"/>
                <w:sz w:val="20"/>
                <w:lang w:val="ru-RU"/>
              </w:rPr>
              <w:t xml:space="preserve"> банкротств</w:t>
            </w:r>
            <w:r w:rsidR="000A14D4" w:rsidRPr="00E93C8D">
              <w:rPr>
                <w:b w:val="0"/>
                <w:i w:val="0"/>
                <w:sz w:val="20"/>
                <w:lang w:val="ru-RU"/>
              </w:rPr>
              <w:t>о</w:t>
            </w:r>
            <w:r w:rsidR="00CD0712" w:rsidRPr="00E93C8D">
              <w:rPr>
                <w:b w:val="0"/>
                <w:i w:val="0"/>
                <w:sz w:val="20"/>
                <w:lang w:val="ru-RU"/>
              </w:rPr>
              <w:t xml:space="preserve"> другой стороны, (</w:t>
            </w:r>
            <w:r w:rsidR="00CD0712" w:rsidRPr="00E93C8D">
              <w:rPr>
                <w:b w:val="0"/>
                <w:i w:val="0"/>
                <w:sz w:val="20"/>
              </w:rPr>
              <w:t>iii</w:t>
            </w:r>
            <w:r w:rsidR="00CD0712" w:rsidRPr="00E93C8D">
              <w:rPr>
                <w:b w:val="0"/>
                <w:i w:val="0"/>
                <w:sz w:val="20"/>
                <w:lang w:val="ru-RU"/>
              </w:rPr>
              <w:t xml:space="preserve">) принятие другой стороной решения о ликвидации или реорганизации (кроме слияния или преобразования) или подача </w:t>
            </w:r>
            <w:r w:rsidR="006A28C3" w:rsidRPr="00E93C8D">
              <w:rPr>
                <w:b w:val="0"/>
                <w:i w:val="0"/>
                <w:sz w:val="20"/>
                <w:lang w:val="ru-RU"/>
              </w:rPr>
              <w:t>соответствующего</w:t>
            </w:r>
            <w:r w:rsidR="00CD0712" w:rsidRPr="00E93C8D">
              <w:rPr>
                <w:b w:val="0"/>
                <w:i w:val="0"/>
                <w:sz w:val="20"/>
                <w:lang w:val="ru-RU"/>
              </w:rPr>
              <w:t xml:space="preserve"> заявления, (</w:t>
            </w:r>
            <w:r w:rsidR="00CD0712" w:rsidRPr="00E93C8D">
              <w:rPr>
                <w:b w:val="0"/>
                <w:i w:val="0"/>
                <w:sz w:val="20"/>
              </w:rPr>
              <w:t>iv</w:t>
            </w:r>
            <w:r w:rsidR="00CD0712" w:rsidRPr="00E93C8D">
              <w:rPr>
                <w:b w:val="0"/>
                <w:i w:val="0"/>
                <w:sz w:val="20"/>
                <w:lang w:val="ru-RU"/>
              </w:rPr>
              <w:t xml:space="preserve">) принятие административного предписания в отношении </w:t>
            </w:r>
            <w:r w:rsidR="00CD0712" w:rsidRPr="00E93C8D">
              <w:rPr>
                <w:b w:val="0"/>
                <w:i w:val="0"/>
                <w:sz w:val="20"/>
                <w:lang w:val="ru-RU"/>
              </w:rPr>
              <w:lastRenderedPageBreak/>
              <w:t xml:space="preserve">другой стороны, или назначения внешнего управления, или </w:t>
            </w:r>
            <w:r w:rsidR="00433CC7" w:rsidRPr="00E93C8D">
              <w:rPr>
                <w:b w:val="0"/>
                <w:i w:val="0"/>
                <w:sz w:val="20"/>
                <w:lang w:val="ru-RU"/>
              </w:rPr>
              <w:t xml:space="preserve">получение </w:t>
            </w:r>
            <w:r w:rsidR="00CD0712" w:rsidRPr="00E93C8D">
              <w:rPr>
                <w:b w:val="0"/>
                <w:i w:val="0"/>
                <w:sz w:val="20"/>
                <w:lang w:val="ru-RU"/>
              </w:rPr>
              <w:t>залогодержател</w:t>
            </w:r>
            <w:r w:rsidR="00433CC7" w:rsidRPr="00E93C8D">
              <w:rPr>
                <w:b w:val="0"/>
                <w:i w:val="0"/>
                <w:sz w:val="20"/>
                <w:lang w:val="ru-RU"/>
              </w:rPr>
              <w:t>ем</w:t>
            </w:r>
            <w:r w:rsidR="00CD0712" w:rsidRPr="00E93C8D">
              <w:rPr>
                <w:b w:val="0"/>
                <w:i w:val="0"/>
                <w:sz w:val="20"/>
                <w:lang w:val="ru-RU"/>
              </w:rPr>
              <w:t xml:space="preserve"> </w:t>
            </w:r>
            <w:r w:rsidR="00433CC7" w:rsidRPr="00E93C8D">
              <w:rPr>
                <w:b w:val="0"/>
                <w:i w:val="0"/>
                <w:sz w:val="20"/>
                <w:lang w:val="ru-RU"/>
              </w:rPr>
              <w:t>права собственности</w:t>
            </w:r>
            <w:r w:rsidR="00CD0712" w:rsidRPr="00E93C8D">
              <w:rPr>
                <w:b w:val="0"/>
                <w:i w:val="0"/>
                <w:sz w:val="20"/>
                <w:lang w:val="ru-RU"/>
              </w:rPr>
              <w:t xml:space="preserve"> </w:t>
            </w:r>
            <w:r w:rsidR="00433CC7" w:rsidRPr="00E93C8D">
              <w:rPr>
                <w:b w:val="0"/>
                <w:i w:val="0"/>
                <w:sz w:val="20"/>
                <w:lang w:val="ru-RU"/>
              </w:rPr>
              <w:t>на активы другой стороны, или продажа активов другой стороны, (</w:t>
            </w:r>
            <w:r w:rsidR="00433CC7" w:rsidRPr="00E93C8D">
              <w:rPr>
                <w:b w:val="0"/>
                <w:i w:val="0"/>
                <w:sz w:val="20"/>
              </w:rPr>
              <w:t>v</w:t>
            </w:r>
            <w:r w:rsidR="00433CC7" w:rsidRPr="00E93C8D">
              <w:rPr>
                <w:b w:val="0"/>
                <w:i w:val="0"/>
                <w:sz w:val="20"/>
                <w:lang w:val="ru-RU"/>
              </w:rPr>
              <w:t>) другая сторона договаривается со своими кредиторами в широком смысле либо подает заявление в суд компетентной юрисдикции для защиты от своих кр</w:t>
            </w:r>
            <w:r w:rsidR="000A14D4" w:rsidRPr="00E93C8D">
              <w:rPr>
                <w:b w:val="0"/>
                <w:i w:val="0"/>
                <w:sz w:val="20"/>
                <w:lang w:val="ru-RU"/>
              </w:rPr>
              <w:t>е</w:t>
            </w:r>
            <w:r w:rsidR="00433CC7" w:rsidRPr="00E93C8D">
              <w:rPr>
                <w:b w:val="0"/>
                <w:i w:val="0"/>
                <w:sz w:val="20"/>
                <w:lang w:val="ru-RU"/>
              </w:rPr>
              <w:t>д</w:t>
            </w:r>
            <w:r w:rsidR="000A14D4" w:rsidRPr="00E93C8D">
              <w:rPr>
                <w:b w:val="0"/>
                <w:i w:val="0"/>
                <w:sz w:val="20"/>
                <w:lang w:val="ru-RU"/>
              </w:rPr>
              <w:t>и</w:t>
            </w:r>
            <w:r w:rsidR="00433CC7" w:rsidRPr="00E93C8D">
              <w:rPr>
                <w:b w:val="0"/>
                <w:i w:val="0"/>
                <w:sz w:val="20"/>
                <w:lang w:val="ru-RU"/>
              </w:rPr>
              <w:t>торов в широком смысле, или (</w:t>
            </w:r>
            <w:r w:rsidR="00433CC7" w:rsidRPr="00E93C8D">
              <w:rPr>
                <w:b w:val="0"/>
                <w:i w:val="0"/>
                <w:sz w:val="20"/>
              </w:rPr>
              <w:t>vi</w:t>
            </w:r>
            <w:r w:rsidR="00433CC7" w:rsidRPr="00E93C8D">
              <w:rPr>
                <w:b w:val="0"/>
                <w:i w:val="0"/>
                <w:sz w:val="20"/>
                <w:lang w:val="ru-RU"/>
              </w:rPr>
              <w:t>) при наличи</w:t>
            </w:r>
            <w:r w:rsidR="00AE19E1" w:rsidRPr="00E93C8D">
              <w:rPr>
                <w:b w:val="0"/>
                <w:i w:val="0"/>
                <w:sz w:val="20"/>
                <w:lang w:val="ru-RU"/>
              </w:rPr>
              <w:t>и</w:t>
            </w:r>
            <w:r w:rsidR="00433CC7" w:rsidRPr="00E93C8D">
              <w:rPr>
                <w:b w:val="0"/>
                <w:i w:val="0"/>
                <w:sz w:val="20"/>
                <w:lang w:val="ru-RU"/>
              </w:rPr>
              <w:t xml:space="preserve"> обстоятельств, аналогичных указанным в подпунк</w:t>
            </w:r>
            <w:r w:rsidR="00EB3F2D" w:rsidRPr="00E93C8D">
              <w:rPr>
                <w:b w:val="0"/>
                <w:i w:val="0"/>
                <w:sz w:val="20"/>
                <w:lang w:val="ru-RU"/>
              </w:rPr>
              <w:t>т</w:t>
            </w:r>
            <w:r w:rsidR="00B810D6" w:rsidRPr="00E93C8D">
              <w:rPr>
                <w:b w:val="0"/>
                <w:i w:val="0"/>
                <w:sz w:val="20"/>
                <w:lang w:val="ru-RU"/>
              </w:rPr>
              <w:t>ах</w:t>
            </w:r>
            <w:r w:rsidR="00EB3F2D" w:rsidRPr="00E93C8D">
              <w:rPr>
                <w:b w:val="0"/>
                <w:i w:val="0"/>
                <w:sz w:val="20"/>
                <w:lang w:val="ru-RU"/>
              </w:rPr>
              <w:t xml:space="preserve"> (</w:t>
            </w:r>
            <w:r w:rsidR="00EB3F2D" w:rsidRPr="00E93C8D">
              <w:rPr>
                <w:b w:val="0"/>
                <w:i w:val="0"/>
                <w:sz w:val="20"/>
              </w:rPr>
              <w:t>ii</w:t>
            </w:r>
            <w:r w:rsidR="00EB3F2D" w:rsidRPr="00E93C8D">
              <w:rPr>
                <w:b w:val="0"/>
                <w:i w:val="0"/>
                <w:sz w:val="20"/>
                <w:lang w:val="ru-RU"/>
              </w:rPr>
              <w:t>)</w:t>
            </w:r>
            <w:r w:rsidR="00B810D6" w:rsidRPr="00E93C8D">
              <w:rPr>
                <w:b w:val="0"/>
                <w:i w:val="0"/>
                <w:sz w:val="20"/>
                <w:lang w:val="ru-RU"/>
              </w:rPr>
              <w:t xml:space="preserve"> – (</w:t>
            </w:r>
            <w:r w:rsidR="00B810D6" w:rsidRPr="00E93C8D">
              <w:rPr>
                <w:b w:val="0"/>
                <w:i w:val="0"/>
                <w:sz w:val="20"/>
              </w:rPr>
              <w:t>v</w:t>
            </w:r>
            <w:r w:rsidR="00B810D6" w:rsidRPr="00E93C8D">
              <w:rPr>
                <w:b w:val="0"/>
                <w:i w:val="0"/>
                <w:sz w:val="20"/>
                <w:lang w:val="ru-RU"/>
              </w:rPr>
              <w:t>) в любой соответствующей юрисдикции.</w:t>
            </w:r>
          </w:p>
        </w:tc>
      </w:tr>
      <w:tr w:rsidR="00E93C8D" w:rsidRPr="00E94258" w:rsidTr="009576BA">
        <w:trPr>
          <w:gridAfter w:val="1"/>
          <w:wAfter w:w="392" w:type="dxa"/>
        </w:trPr>
        <w:tc>
          <w:tcPr>
            <w:tcW w:w="4820" w:type="dxa"/>
            <w:gridSpan w:val="2"/>
          </w:tcPr>
          <w:p w:rsidR="00975AE5" w:rsidRPr="00E93C8D" w:rsidRDefault="00975AE5" w:rsidP="00164544">
            <w:pPr>
              <w:pStyle w:val="1"/>
              <w:keepNext w:val="0"/>
              <w:widowControl w:val="0"/>
              <w:numPr>
                <w:ilvl w:val="0"/>
                <w:numId w:val="0"/>
              </w:numPr>
              <w:spacing w:after="120"/>
              <w:outlineLvl w:val="0"/>
              <w:rPr>
                <w:b w:val="0"/>
                <w:i w:val="0"/>
                <w:sz w:val="20"/>
              </w:rPr>
            </w:pPr>
            <w:r w:rsidRPr="00E93C8D">
              <w:rPr>
                <w:b w:val="0"/>
                <w:i w:val="0"/>
                <w:sz w:val="20"/>
              </w:rPr>
              <w:lastRenderedPageBreak/>
              <w:t>(</w:t>
            </w:r>
            <w:r w:rsidR="00164544" w:rsidRPr="00E93C8D">
              <w:rPr>
                <w:b w:val="0"/>
                <w:i w:val="0"/>
                <w:sz w:val="20"/>
              </w:rPr>
              <w:t>c</w:t>
            </w:r>
            <w:r w:rsidRPr="00E93C8D">
              <w:rPr>
                <w:b w:val="0"/>
                <w:i w:val="0"/>
                <w:sz w:val="20"/>
              </w:rPr>
              <w:t xml:space="preserve">) Deloitte may terminate </w:t>
            </w:r>
            <w:r w:rsidR="00FC4DD1" w:rsidRPr="00E93C8D">
              <w:rPr>
                <w:b w:val="0"/>
                <w:i w:val="0"/>
                <w:sz w:val="20"/>
              </w:rPr>
              <w:t>the</w:t>
            </w:r>
            <w:r w:rsidRPr="00E93C8D">
              <w:rPr>
                <w:b w:val="0"/>
                <w:i w:val="0"/>
                <w:sz w:val="20"/>
              </w:rPr>
              <w:t xml:space="preserve"> Contract</w:t>
            </w:r>
            <w:r w:rsidR="00FC4DD1" w:rsidRPr="00E93C8D">
              <w:rPr>
                <w:b w:val="0"/>
                <w:i w:val="0"/>
                <w:sz w:val="20"/>
              </w:rPr>
              <w:t xml:space="preserve"> or any Addendum</w:t>
            </w:r>
            <w:r w:rsidRPr="00E93C8D">
              <w:rPr>
                <w:b w:val="0"/>
                <w:i w:val="0"/>
                <w:sz w:val="20"/>
              </w:rPr>
              <w:t xml:space="preserve"> in whole or in part, with immediate effect upon written notice to the Client if Deloitte determines that (i) a governmental, regulatory, or professional entity, or other entity having the force of law has introduced a new, or modified an existing, law, rule, regulation, interpretation, or decision, the result of which would render Deloitte’s performance of any part of the Contract illegal or otherwise unlawful or in conflict with independence or professional rules, or (ii) circumstances change (including, without limitation, changes in ownership of the Client or of its </w:t>
            </w:r>
            <w:r w:rsidR="00FC4DD1" w:rsidRPr="00E93C8D">
              <w:rPr>
                <w:b w:val="0"/>
                <w:i w:val="0"/>
                <w:sz w:val="20"/>
              </w:rPr>
              <w:t>A</w:t>
            </w:r>
            <w:r w:rsidRPr="00E93C8D">
              <w:rPr>
                <w:b w:val="0"/>
                <w:i w:val="0"/>
                <w:sz w:val="20"/>
              </w:rPr>
              <w:t xml:space="preserve">ffiliates) so that Deloitte’s performance of any part of the Contract would be illegal or otherwise unlawful or in conflict with independence or professional rules.  </w:t>
            </w:r>
          </w:p>
        </w:tc>
        <w:tc>
          <w:tcPr>
            <w:tcW w:w="4820" w:type="dxa"/>
            <w:gridSpan w:val="2"/>
          </w:tcPr>
          <w:p w:rsidR="00975AE5" w:rsidRPr="00E93C8D" w:rsidRDefault="00975AE5" w:rsidP="00164544">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00164544" w:rsidRPr="00E93C8D">
              <w:rPr>
                <w:b w:val="0"/>
                <w:i w:val="0"/>
                <w:sz w:val="20"/>
              </w:rPr>
              <w:t>c</w:t>
            </w:r>
            <w:r w:rsidRPr="00E93C8D">
              <w:rPr>
                <w:b w:val="0"/>
                <w:i w:val="0"/>
                <w:sz w:val="20"/>
                <w:lang w:val="ru-RU"/>
              </w:rPr>
              <w:t xml:space="preserve">) Делойт вправе расторгнуть </w:t>
            </w:r>
            <w:r w:rsidRPr="00E93C8D">
              <w:rPr>
                <w:b w:val="0"/>
                <w:i w:val="0"/>
                <w:sz w:val="20"/>
                <w:lang w:val="ru-RU" w:eastAsia="ru-RU"/>
              </w:rPr>
              <w:t>Договор</w:t>
            </w:r>
            <w:r w:rsidR="00FC4DD1" w:rsidRPr="00E93C8D">
              <w:rPr>
                <w:b w:val="0"/>
                <w:i w:val="0"/>
                <w:sz w:val="20"/>
                <w:lang w:val="ru-RU" w:eastAsia="ru-RU"/>
              </w:rPr>
              <w:t xml:space="preserve"> или Дополнительное соглашение</w:t>
            </w:r>
            <w:r w:rsidRPr="00E93C8D">
              <w:rPr>
                <w:b w:val="0"/>
                <w:i w:val="0"/>
                <w:sz w:val="20"/>
                <w:lang w:val="ru-RU"/>
              </w:rPr>
              <w:t xml:space="preserve"> полностью или в части немедленно путем направления письменного уведомления Клиенту в случае, если Делойт станет известно (</w:t>
            </w:r>
            <w:r w:rsidRPr="00E93C8D">
              <w:rPr>
                <w:b w:val="0"/>
                <w:i w:val="0"/>
                <w:sz w:val="20"/>
              </w:rPr>
              <w:t>i</w:t>
            </w:r>
            <w:r w:rsidRPr="00E93C8D">
              <w:rPr>
                <w:b w:val="0"/>
                <w:i w:val="0"/>
                <w:sz w:val="20"/>
                <w:lang w:val="ru-RU"/>
              </w:rPr>
              <w:t>) о принятии государственными, регулирующими или профессиональными органами либо иными лицами имеющими силу новых законов, правил, нормативных актов, разъяснений или решений, либо внесении ими поправок в существующие законы, правила, нормативные акты, разъяснения или решения, в результате которых оказание Делойт любой части услуг по Соглашению становится незаконным, неправомерным или противоречащим нормам независимости или профессиональной этики, либо (</w:t>
            </w:r>
            <w:r w:rsidRPr="00E93C8D">
              <w:rPr>
                <w:b w:val="0"/>
                <w:i w:val="0"/>
                <w:sz w:val="20"/>
              </w:rPr>
              <w:t>ii</w:t>
            </w:r>
            <w:r w:rsidRPr="00E93C8D">
              <w:rPr>
                <w:b w:val="0"/>
                <w:i w:val="0"/>
                <w:sz w:val="20"/>
                <w:lang w:val="ru-RU"/>
              </w:rPr>
              <w:t xml:space="preserve">) об изменении обстоятельств (включая, в частности, изменения в структуре собственности Клиента или любого из его </w:t>
            </w:r>
            <w:r w:rsidR="00FC4DD1" w:rsidRPr="00E93C8D">
              <w:rPr>
                <w:b w:val="0"/>
                <w:i w:val="0"/>
                <w:sz w:val="20"/>
                <w:lang w:val="ru-RU"/>
              </w:rPr>
              <w:t>А</w:t>
            </w:r>
            <w:r w:rsidRPr="00E93C8D">
              <w:rPr>
                <w:b w:val="0"/>
                <w:i w:val="0"/>
                <w:sz w:val="20"/>
                <w:lang w:val="ru-RU"/>
              </w:rPr>
              <w:t>ффилированных лиц), в результате чего оказание Делойт любой части услуг по Соглашению становится незаконным, неправомерным или противоречащим нормам независимости или профессиональной этики.</w:t>
            </w:r>
          </w:p>
        </w:tc>
      </w:tr>
      <w:tr w:rsidR="00E93C8D" w:rsidRPr="009576BA" w:rsidTr="009576BA">
        <w:trPr>
          <w:gridAfter w:val="1"/>
          <w:wAfter w:w="392" w:type="dxa"/>
        </w:trPr>
        <w:tc>
          <w:tcPr>
            <w:tcW w:w="4820" w:type="dxa"/>
            <w:gridSpan w:val="2"/>
          </w:tcPr>
          <w:p w:rsidR="00975AE5" w:rsidRPr="00E93C8D" w:rsidRDefault="00975AE5" w:rsidP="00164544">
            <w:pPr>
              <w:pStyle w:val="1"/>
              <w:keepNext w:val="0"/>
              <w:widowControl w:val="0"/>
              <w:numPr>
                <w:ilvl w:val="0"/>
                <w:numId w:val="0"/>
              </w:numPr>
              <w:spacing w:after="120"/>
              <w:outlineLvl w:val="0"/>
              <w:rPr>
                <w:b w:val="0"/>
                <w:i w:val="0"/>
                <w:sz w:val="20"/>
              </w:rPr>
            </w:pPr>
            <w:r w:rsidRPr="00E93C8D">
              <w:rPr>
                <w:b w:val="0"/>
                <w:i w:val="0"/>
                <w:sz w:val="20"/>
              </w:rPr>
              <w:t>(</w:t>
            </w:r>
            <w:r w:rsidR="00164544" w:rsidRPr="00E93C8D">
              <w:rPr>
                <w:b w:val="0"/>
                <w:i w:val="0"/>
                <w:sz w:val="20"/>
              </w:rPr>
              <w:t>d</w:t>
            </w:r>
            <w:r w:rsidRPr="00E93C8D">
              <w:rPr>
                <w:b w:val="0"/>
                <w:i w:val="0"/>
                <w:sz w:val="20"/>
              </w:rPr>
              <w:t>) Upon termination of the Contract</w:t>
            </w:r>
            <w:r w:rsidR="001A7E33" w:rsidRPr="00E93C8D">
              <w:rPr>
                <w:b w:val="0"/>
                <w:i w:val="0"/>
                <w:sz w:val="20"/>
              </w:rPr>
              <w:t xml:space="preserve"> or any Addendum</w:t>
            </w:r>
            <w:r w:rsidRPr="00E93C8D">
              <w:rPr>
                <w:b w:val="0"/>
                <w:i w:val="0"/>
                <w:sz w:val="20"/>
              </w:rPr>
              <w:t xml:space="preserve">, for any reason the Client will compensate Deloitte in accordance with the terms of the Contract for the Services performed and expenses incurred </w:t>
            </w:r>
            <w:r w:rsidR="001A7E33" w:rsidRPr="00E93C8D">
              <w:rPr>
                <w:b w:val="0"/>
                <w:i w:val="0"/>
                <w:sz w:val="20"/>
              </w:rPr>
              <w:t>up to</w:t>
            </w:r>
            <w:r w:rsidRPr="00E93C8D">
              <w:rPr>
                <w:b w:val="0"/>
                <w:i w:val="0"/>
                <w:sz w:val="20"/>
              </w:rPr>
              <w:t xml:space="preserve"> the effective date of termination.</w:t>
            </w:r>
          </w:p>
        </w:tc>
        <w:tc>
          <w:tcPr>
            <w:tcW w:w="4820" w:type="dxa"/>
            <w:gridSpan w:val="2"/>
          </w:tcPr>
          <w:p w:rsidR="00975AE5" w:rsidRPr="00E93C8D" w:rsidRDefault="00975AE5" w:rsidP="00164544">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00164544" w:rsidRPr="00E93C8D">
              <w:rPr>
                <w:b w:val="0"/>
                <w:i w:val="0"/>
                <w:sz w:val="20"/>
              </w:rPr>
              <w:t>d</w:t>
            </w:r>
            <w:r w:rsidRPr="00E93C8D">
              <w:rPr>
                <w:b w:val="0"/>
                <w:i w:val="0"/>
                <w:sz w:val="20"/>
                <w:lang w:val="ru-RU"/>
              </w:rPr>
              <w:t xml:space="preserve">) В случае досрочного прекращения </w:t>
            </w:r>
            <w:r w:rsidRPr="00E93C8D">
              <w:rPr>
                <w:b w:val="0"/>
                <w:i w:val="0"/>
                <w:sz w:val="20"/>
                <w:lang w:val="ru-RU" w:eastAsia="ru-RU"/>
              </w:rPr>
              <w:t>Договора</w:t>
            </w:r>
            <w:r w:rsidR="001A7E33" w:rsidRPr="00E93C8D">
              <w:rPr>
                <w:b w:val="0"/>
                <w:i w:val="0"/>
                <w:sz w:val="20"/>
                <w:lang w:val="ru-RU" w:eastAsia="ru-RU"/>
              </w:rPr>
              <w:t xml:space="preserve"> или Дополнительного соглашения</w:t>
            </w:r>
            <w:r w:rsidRPr="00E93C8D">
              <w:rPr>
                <w:b w:val="0"/>
                <w:i w:val="0"/>
                <w:sz w:val="20"/>
                <w:lang w:val="ru-RU"/>
              </w:rPr>
              <w:t xml:space="preserve"> по любым основаниям Клиент в соответствии с условиями </w:t>
            </w:r>
            <w:r w:rsidRPr="00E93C8D">
              <w:rPr>
                <w:b w:val="0"/>
                <w:i w:val="0"/>
                <w:sz w:val="20"/>
                <w:lang w:val="ru-RU" w:eastAsia="ru-RU"/>
              </w:rPr>
              <w:t>Договора</w:t>
            </w:r>
            <w:r w:rsidRPr="00E93C8D">
              <w:rPr>
                <w:b w:val="0"/>
                <w:i w:val="0"/>
                <w:sz w:val="20"/>
                <w:lang w:val="ru-RU"/>
              </w:rPr>
              <w:t xml:space="preserve"> возмещает Делойт стоимость оказанных Услуг и сумму расходов, понесенных до даты такого прекращения.</w:t>
            </w:r>
          </w:p>
        </w:tc>
      </w:tr>
      <w:tr w:rsidR="00E93C8D" w:rsidRPr="009576BA" w:rsidTr="009576BA">
        <w:trPr>
          <w:gridAfter w:val="1"/>
          <w:wAfter w:w="392" w:type="dxa"/>
        </w:trPr>
        <w:tc>
          <w:tcPr>
            <w:tcW w:w="4820" w:type="dxa"/>
            <w:gridSpan w:val="2"/>
          </w:tcPr>
          <w:p w:rsidR="001A7E33" w:rsidRPr="00E93C8D" w:rsidRDefault="001A7E33" w:rsidP="008E5428">
            <w:pPr>
              <w:pStyle w:val="1"/>
              <w:keepNext w:val="0"/>
              <w:widowControl w:val="0"/>
              <w:numPr>
                <w:ilvl w:val="0"/>
                <w:numId w:val="0"/>
              </w:numPr>
              <w:spacing w:after="120"/>
              <w:outlineLvl w:val="0"/>
              <w:rPr>
                <w:b w:val="0"/>
                <w:i w:val="0"/>
                <w:sz w:val="20"/>
              </w:rPr>
            </w:pPr>
            <w:r w:rsidRPr="00E93C8D">
              <w:rPr>
                <w:b w:val="0"/>
                <w:i w:val="0"/>
                <w:sz w:val="20"/>
              </w:rPr>
              <w:t>(e) Termination of any part of the Contract shall not affect the remainder of t</w:t>
            </w:r>
            <w:r w:rsidR="008E5428" w:rsidRPr="00E93C8D">
              <w:rPr>
                <w:b w:val="0"/>
                <w:i w:val="0"/>
                <w:sz w:val="20"/>
              </w:rPr>
              <w:t>he</w:t>
            </w:r>
            <w:r w:rsidRPr="00E93C8D">
              <w:rPr>
                <w:b w:val="0"/>
                <w:i w:val="0"/>
                <w:sz w:val="20"/>
              </w:rPr>
              <w:t xml:space="preserve"> Contract. These Standard Tax Terms shall continue to apply to any Addendum in force that has not itself been terminated in accordance with the provisions of Paragraphs 4(a), (b) or (c) above.  </w:t>
            </w:r>
          </w:p>
        </w:tc>
        <w:tc>
          <w:tcPr>
            <w:tcW w:w="4820" w:type="dxa"/>
            <w:gridSpan w:val="2"/>
          </w:tcPr>
          <w:p w:rsidR="001A7E33" w:rsidRPr="00E93C8D" w:rsidRDefault="001A7E33" w:rsidP="008248F5">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e</w:t>
            </w:r>
            <w:r w:rsidRPr="00E93C8D">
              <w:rPr>
                <w:b w:val="0"/>
                <w:i w:val="0"/>
                <w:sz w:val="20"/>
                <w:lang w:val="ru-RU"/>
              </w:rPr>
              <w:t xml:space="preserve">) Расторжение любой части Договора не затрагивает исполнение оставшейся части Договора. Настоящие Общие Условия Оказания Услуг </w:t>
            </w:r>
            <w:r w:rsidR="00A8145E" w:rsidRPr="00E93C8D">
              <w:rPr>
                <w:b w:val="0"/>
                <w:i w:val="0"/>
                <w:sz w:val="20"/>
                <w:lang w:val="ru-RU"/>
              </w:rPr>
              <w:t>применяются</w:t>
            </w:r>
            <w:r w:rsidRPr="00E93C8D">
              <w:rPr>
                <w:b w:val="0"/>
                <w:i w:val="0"/>
                <w:sz w:val="20"/>
                <w:lang w:val="ru-RU"/>
              </w:rPr>
              <w:t xml:space="preserve"> к любому действующему Дополнительному соглашению</w:t>
            </w:r>
            <w:r w:rsidR="008248F5" w:rsidRPr="00E93C8D">
              <w:rPr>
                <w:b w:val="0"/>
                <w:i w:val="0"/>
                <w:sz w:val="20"/>
                <w:lang w:val="ru-RU"/>
              </w:rPr>
              <w:t>, которое не расторгнуто в соответствие с пунктами 4(а), (</w:t>
            </w:r>
            <w:r w:rsidR="008248F5" w:rsidRPr="00E93C8D">
              <w:rPr>
                <w:b w:val="0"/>
                <w:i w:val="0"/>
                <w:sz w:val="20"/>
              </w:rPr>
              <w:t>b</w:t>
            </w:r>
            <w:r w:rsidR="008248F5" w:rsidRPr="00E93C8D">
              <w:rPr>
                <w:b w:val="0"/>
                <w:i w:val="0"/>
                <w:sz w:val="20"/>
                <w:lang w:val="ru-RU"/>
              </w:rPr>
              <w:t xml:space="preserve">) или (с). </w:t>
            </w:r>
          </w:p>
        </w:tc>
      </w:tr>
      <w:tr w:rsidR="00E93C8D" w:rsidRPr="009576BA"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i w:val="0"/>
                <w:sz w:val="20"/>
                <w:lang w:val="en-GB"/>
              </w:rPr>
            </w:pPr>
            <w:r w:rsidRPr="00E93C8D">
              <w:rPr>
                <w:bCs/>
                <w:i w:val="0"/>
                <w:sz w:val="20"/>
              </w:rPr>
              <w:t xml:space="preserve">5. </w:t>
            </w:r>
            <w:r w:rsidRPr="00E93C8D">
              <w:rPr>
                <w:bCs/>
                <w:i w:val="0"/>
                <w:sz w:val="20"/>
                <w:lang w:val="en-GB"/>
              </w:rPr>
              <w:t>Ownership</w:t>
            </w:r>
            <w:r w:rsidRPr="00E93C8D">
              <w:rPr>
                <w:bCs/>
                <w:i w:val="0"/>
                <w:sz w:val="20"/>
              </w:rPr>
              <w:t xml:space="preserve"> </w:t>
            </w:r>
            <w:r w:rsidRPr="00E93C8D">
              <w:rPr>
                <w:bCs/>
                <w:i w:val="0"/>
                <w:sz w:val="20"/>
                <w:lang w:val="en-GB"/>
              </w:rPr>
              <w:t>of</w:t>
            </w:r>
            <w:r w:rsidRPr="00E93C8D">
              <w:rPr>
                <w:bCs/>
                <w:i w:val="0"/>
                <w:sz w:val="20"/>
              </w:rPr>
              <w:t xml:space="preserve"> </w:t>
            </w:r>
            <w:r w:rsidRPr="00E93C8D">
              <w:rPr>
                <w:bCs/>
                <w:i w:val="0"/>
                <w:sz w:val="20"/>
                <w:lang w:val="en-GB"/>
              </w:rPr>
              <w:t>Deloitte</w:t>
            </w:r>
            <w:r w:rsidRPr="00E93C8D">
              <w:rPr>
                <w:bCs/>
                <w:i w:val="0"/>
                <w:sz w:val="20"/>
              </w:rPr>
              <w:t xml:space="preserve"> </w:t>
            </w:r>
            <w:r w:rsidRPr="00E93C8D">
              <w:rPr>
                <w:bCs/>
                <w:i w:val="0"/>
                <w:sz w:val="20"/>
                <w:lang w:val="en-GB"/>
              </w:rPr>
              <w:t>Property</w:t>
            </w:r>
            <w:r w:rsidRPr="00E93C8D">
              <w:rPr>
                <w:bCs/>
                <w:i w:val="0"/>
                <w:sz w:val="20"/>
              </w:rPr>
              <w:t xml:space="preserve"> &amp; </w:t>
            </w:r>
            <w:r w:rsidRPr="00E93C8D">
              <w:rPr>
                <w:bCs/>
                <w:i w:val="0"/>
                <w:sz w:val="20"/>
                <w:lang w:val="en-GB"/>
              </w:rPr>
              <w:t>Work</w:t>
            </w:r>
            <w:r w:rsidRPr="00E93C8D">
              <w:rPr>
                <w:bCs/>
                <w:i w:val="0"/>
                <w:sz w:val="20"/>
              </w:rPr>
              <w:t xml:space="preserve"> </w:t>
            </w:r>
            <w:r w:rsidRPr="00E93C8D">
              <w:rPr>
                <w:bCs/>
                <w:i w:val="0"/>
                <w:sz w:val="20"/>
                <w:lang w:val="en-GB"/>
              </w:rPr>
              <w:t>Products</w:t>
            </w:r>
            <w:r w:rsidRPr="00E93C8D">
              <w:rPr>
                <w:i w:val="0"/>
                <w:sz w:val="20"/>
                <w:lang w:val="en-GB"/>
              </w:rPr>
              <w:t xml:space="preserve">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lang w:val="ru-RU"/>
              </w:rPr>
            </w:pPr>
            <w:r w:rsidRPr="00E93C8D">
              <w:rPr>
                <w:bCs/>
                <w:i w:val="0"/>
                <w:sz w:val="20"/>
                <w:lang w:val="ru-RU"/>
              </w:rPr>
              <w:t>5. Права на собственность и рабочие продукты Делойт</w:t>
            </w:r>
          </w:p>
        </w:tc>
      </w:tr>
      <w:tr w:rsidR="00E93C8D" w:rsidRPr="009576BA"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en-GB"/>
              </w:rPr>
            </w:pPr>
            <w:r w:rsidRPr="00E93C8D">
              <w:rPr>
                <w:b w:val="0"/>
                <w:i w:val="0"/>
                <w:sz w:val="20"/>
                <w:lang w:val="en-GB"/>
              </w:rPr>
              <w:t>(a) To the extent that any property (whether tangible or intangible) of any Deloitte Entity is used or developed in connection with th</w:t>
            </w:r>
            <w:r w:rsidR="008E5428" w:rsidRPr="00E93C8D">
              <w:rPr>
                <w:b w:val="0"/>
                <w:i w:val="0"/>
                <w:sz w:val="20"/>
              </w:rPr>
              <w:t>e</w:t>
            </w:r>
            <w:r w:rsidRPr="00E93C8D">
              <w:rPr>
                <w:b w:val="0"/>
                <w:i w:val="0"/>
                <w:sz w:val="20"/>
                <w:lang w:val="en-GB"/>
              </w:rPr>
              <w:t xml:space="preserve"> Contract, such property, including work papers, shall remain the property of the relevant Deloitte Entity. </w:t>
            </w:r>
          </w:p>
          <w:p w:rsidR="00975AE5" w:rsidRPr="00E93C8D" w:rsidRDefault="00975AE5" w:rsidP="003E124E">
            <w:pPr>
              <w:pStyle w:val="1"/>
              <w:keepNext w:val="0"/>
              <w:widowControl w:val="0"/>
              <w:numPr>
                <w:ilvl w:val="0"/>
                <w:numId w:val="0"/>
              </w:numPr>
              <w:spacing w:after="120"/>
              <w:outlineLvl w:val="0"/>
              <w:rPr>
                <w:b w:val="0"/>
                <w:i w:val="0"/>
                <w:sz w:val="20"/>
                <w:lang w:val="en-GB"/>
              </w:rPr>
            </w:pP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lang w:val="en-GB"/>
              </w:rPr>
              <w:t>a</w:t>
            </w:r>
            <w:r w:rsidRPr="00E93C8D">
              <w:rPr>
                <w:b w:val="0"/>
                <w:i w:val="0"/>
                <w:sz w:val="20"/>
                <w:lang w:val="ru-RU"/>
              </w:rPr>
              <w:t xml:space="preserve">) В случае если в ходе оказания Услуг по </w:t>
            </w:r>
            <w:r w:rsidRPr="00E93C8D">
              <w:rPr>
                <w:b w:val="0"/>
                <w:i w:val="0"/>
                <w:sz w:val="20"/>
                <w:lang w:val="ru-RU" w:eastAsia="ru-RU"/>
              </w:rPr>
              <w:t>Договору</w:t>
            </w:r>
            <w:r w:rsidRPr="00E93C8D">
              <w:rPr>
                <w:b w:val="0"/>
                <w:i w:val="0"/>
                <w:sz w:val="20"/>
                <w:lang w:val="ru-RU"/>
              </w:rPr>
              <w:t xml:space="preserve"> любой из Компаний "Делойт" используется или разрабатывается ее собственность (включая материальные и нематериальные активы), такая собственность, в том числе, рабочая документация, остается за соответствующей компанией Делойт. </w:t>
            </w:r>
          </w:p>
        </w:tc>
      </w:tr>
      <w:tr w:rsidR="00E93C8D" w:rsidRPr="009576BA"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en-GB"/>
              </w:rPr>
            </w:pPr>
            <w:r w:rsidRPr="00E93C8D">
              <w:rPr>
                <w:b w:val="0"/>
                <w:i w:val="0"/>
                <w:sz w:val="20"/>
                <w:lang w:val="en-GB"/>
              </w:rPr>
              <w:t>Subject to payment of all of Deloitte’s fees due in connection with the Services and th</w:t>
            </w:r>
            <w:r w:rsidR="00F46224" w:rsidRPr="00E93C8D">
              <w:rPr>
                <w:b w:val="0"/>
                <w:i w:val="0"/>
                <w:sz w:val="20"/>
                <w:lang w:val="en-GB"/>
              </w:rPr>
              <w:t>e</w:t>
            </w:r>
            <w:r w:rsidRPr="00E93C8D">
              <w:rPr>
                <w:b w:val="0"/>
                <w:i w:val="0"/>
                <w:sz w:val="20"/>
                <w:lang w:val="en-GB"/>
              </w:rPr>
              <w:t xml:space="preserve"> Contract, the Client shall obtain a non-exclusive non-transferable licen</w:t>
            </w:r>
            <w:r w:rsidR="00F46224" w:rsidRPr="00E93C8D">
              <w:rPr>
                <w:b w:val="0"/>
                <w:i w:val="0"/>
                <w:sz w:val="20"/>
                <w:lang w:val="en-GB"/>
              </w:rPr>
              <w:t>c</w:t>
            </w:r>
            <w:r w:rsidRPr="00E93C8D">
              <w:rPr>
                <w:b w:val="0"/>
                <w:i w:val="0"/>
                <w:sz w:val="20"/>
                <w:lang w:val="en-GB"/>
              </w:rPr>
              <w:t>e to use any Advice for the purpose set out in the Contract (or in the Advice) and in compliance with the provisions of th</w:t>
            </w:r>
            <w:r w:rsidR="00F46224" w:rsidRPr="00E93C8D">
              <w:rPr>
                <w:b w:val="0"/>
                <w:i w:val="0"/>
                <w:sz w:val="20"/>
                <w:lang w:val="en-GB"/>
              </w:rPr>
              <w:t>e</w:t>
            </w:r>
            <w:r w:rsidRPr="00E93C8D">
              <w:rPr>
                <w:b w:val="0"/>
                <w:i w:val="0"/>
                <w:sz w:val="20"/>
                <w:lang w:val="en-GB"/>
              </w:rPr>
              <w:t xml:space="preserve"> Contract. </w:t>
            </w:r>
          </w:p>
          <w:p w:rsidR="00975AE5" w:rsidRPr="00E93C8D" w:rsidRDefault="00975AE5" w:rsidP="003E124E">
            <w:pPr>
              <w:pStyle w:val="1"/>
              <w:keepNext w:val="0"/>
              <w:widowControl w:val="0"/>
              <w:numPr>
                <w:ilvl w:val="0"/>
                <w:numId w:val="0"/>
              </w:numPr>
              <w:spacing w:after="120"/>
              <w:outlineLvl w:val="0"/>
              <w:rPr>
                <w:b w:val="0"/>
                <w:i w:val="0"/>
                <w:sz w:val="20"/>
                <w:lang w:val="en-GB"/>
              </w:rPr>
            </w:pPr>
          </w:p>
        </w:tc>
        <w:tc>
          <w:tcPr>
            <w:tcW w:w="4820" w:type="dxa"/>
            <w:gridSpan w:val="2"/>
          </w:tcPr>
          <w:p w:rsidR="00975AE5" w:rsidRPr="00E93C8D" w:rsidRDefault="00975AE5" w:rsidP="00F46224">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После полной оплаты стоимости Услуг Делойт по </w:t>
            </w:r>
            <w:r w:rsidRPr="00E93C8D">
              <w:rPr>
                <w:b w:val="0"/>
                <w:i w:val="0"/>
                <w:sz w:val="20"/>
                <w:lang w:val="ru-RU" w:eastAsia="ru-RU"/>
              </w:rPr>
              <w:t>Договору</w:t>
            </w:r>
            <w:r w:rsidRPr="00E93C8D">
              <w:rPr>
                <w:b w:val="0"/>
                <w:i w:val="0"/>
                <w:sz w:val="20"/>
                <w:lang w:val="ru-RU"/>
              </w:rPr>
              <w:t xml:space="preserve"> Клиенту предоставляется право использования на условиях простой (неисключительной) лицензии любых Рекомендаций (согласно определению или описанию в </w:t>
            </w:r>
            <w:r w:rsidRPr="00E93C8D">
              <w:rPr>
                <w:b w:val="0"/>
                <w:i w:val="0"/>
                <w:sz w:val="20"/>
                <w:lang w:val="ru-RU" w:eastAsia="ru-RU"/>
              </w:rPr>
              <w:t>Договоре)</w:t>
            </w:r>
            <w:r w:rsidRPr="00E93C8D">
              <w:rPr>
                <w:b w:val="0"/>
                <w:i w:val="0"/>
                <w:sz w:val="20"/>
                <w:lang w:val="ru-RU"/>
              </w:rPr>
              <w:t xml:space="preserve"> в целях, обозначенных в Договоре или в Рекомендациях, и в соответствии с условиями </w:t>
            </w:r>
            <w:r w:rsidRPr="00E93C8D">
              <w:rPr>
                <w:b w:val="0"/>
                <w:i w:val="0"/>
                <w:sz w:val="20"/>
                <w:lang w:val="ru-RU"/>
              </w:rPr>
              <w:lastRenderedPageBreak/>
              <w:t xml:space="preserve">Договора. </w:t>
            </w:r>
          </w:p>
        </w:tc>
      </w:tr>
      <w:tr w:rsidR="00E93C8D" w:rsidRPr="00E94258" w:rsidTr="009576BA">
        <w:trPr>
          <w:gridAfter w:val="1"/>
          <w:wAfter w:w="392" w:type="dxa"/>
        </w:trPr>
        <w:tc>
          <w:tcPr>
            <w:tcW w:w="4820" w:type="dxa"/>
            <w:gridSpan w:val="2"/>
          </w:tcPr>
          <w:p w:rsidR="00975AE5" w:rsidRPr="00E93C8D" w:rsidRDefault="00975AE5" w:rsidP="00A208FC">
            <w:pPr>
              <w:pStyle w:val="1"/>
              <w:keepNext w:val="0"/>
              <w:widowControl w:val="0"/>
              <w:numPr>
                <w:ilvl w:val="0"/>
                <w:numId w:val="0"/>
              </w:numPr>
              <w:spacing w:after="120"/>
              <w:outlineLvl w:val="0"/>
              <w:rPr>
                <w:b w:val="0"/>
                <w:i w:val="0"/>
                <w:sz w:val="20"/>
                <w:lang w:val="en-GB"/>
              </w:rPr>
            </w:pPr>
            <w:r w:rsidRPr="00E93C8D">
              <w:rPr>
                <w:b w:val="0"/>
                <w:i w:val="0"/>
                <w:sz w:val="20"/>
                <w:lang w:val="en-GB"/>
              </w:rPr>
              <w:lastRenderedPageBreak/>
              <w:t>Deloitte shall have ownership (including, without limitation, copyright and other intellectual property ownership) of the Advice and all rights to use and disclose its ideas, concepts, know-how, methods, techniques, processes and skills, and adaptations thereof in conducting its business, and the Client shall ensure that the Client Group does not assert or cause to be asserted against any Deloitte Entity any prohibition or restraint from so doing</w:t>
            </w:r>
            <w:r w:rsidRPr="00E93C8D" w:rsidDel="00AC3C0E">
              <w:rPr>
                <w:b w:val="0"/>
                <w:i w:val="0"/>
                <w:sz w:val="20"/>
                <w:lang w:val="en-GB"/>
              </w:rPr>
              <w:t>.</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Делойт обладает правом собственности (в том числе, без ограничений, исключительным правом и иными интеллектуальными правами) на Рекомендации, а </w:t>
            </w:r>
            <w:r w:rsidR="00A8145E" w:rsidRPr="00E93C8D">
              <w:rPr>
                <w:b w:val="0"/>
                <w:i w:val="0"/>
                <w:sz w:val="20"/>
                <w:lang w:val="ru-RU"/>
              </w:rPr>
              <w:t>также правом</w:t>
            </w:r>
            <w:r w:rsidRPr="00E93C8D">
              <w:rPr>
                <w:b w:val="0"/>
                <w:i w:val="0"/>
                <w:sz w:val="20"/>
                <w:lang w:val="ru-RU"/>
              </w:rPr>
              <w:t xml:space="preserve"> использовать и раскрывать в своей деятельности свои идеи, концепции, ноу-хау, методы, технологии, процессы и умения, а также их модифицированные </w:t>
            </w:r>
            <w:r w:rsidR="00A8145E" w:rsidRPr="00E93C8D">
              <w:rPr>
                <w:b w:val="0"/>
                <w:i w:val="0"/>
                <w:sz w:val="20"/>
                <w:lang w:val="ru-RU"/>
              </w:rPr>
              <w:t>варианты Клиент</w:t>
            </w:r>
            <w:r w:rsidRPr="00E93C8D">
              <w:rPr>
                <w:b w:val="0"/>
                <w:i w:val="0"/>
                <w:sz w:val="20"/>
                <w:lang w:val="ru-RU"/>
              </w:rPr>
              <w:t xml:space="preserve"> обязуется обеспечить отсутствие запретов или ограничений касательно прав Делойт, указанных выше, со стороны Группы Клиента в отношении любой Компании Делойт. </w:t>
            </w:r>
          </w:p>
        </w:tc>
      </w:tr>
      <w:tr w:rsidR="00E93C8D" w:rsidRPr="009576BA"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en-GB"/>
              </w:rPr>
            </w:pPr>
            <w:r w:rsidRPr="00E93C8D">
              <w:rPr>
                <w:b w:val="0"/>
                <w:i w:val="0"/>
                <w:sz w:val="20"/>
                <w:lang w:val="en-GB"/>
              </w:rPr>
              <w:t>Any intellectual property and other proprietary rights in the material and data provided by the Client Group for performing the Services shall remain the property of the Client Group.</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Все интеллектуальные и вещные права на материалы и информацию, предоставленные Группой Клиента для оказания Услуг, остаются в собственности Группы Клиента.</w:t>
            </w:r>
          </w:p>
        </w:tc>
      </w:tr>
      <w:tr w:rsidR="00E93C8D" w:rsidRPr="009576BA" w:rsidTr="009576BA">
        <w:trPr>
          <w:gridAfter w:val="1"/>
          <w:wAfter w:w="392" w:type="dxa"/>
        </w:trPr>
        <w:tc>
          <w:tcPr>
            <w:tcW w:w="4820" w:type="dxa"/>
            <w:gridSpan w:val="2"/>
          </w:tcPr>
          <w:p w:rsidR="00975AE5" w:rsidRPr="00E93C8D" w:rsidRDefault="00975AE5" w:rsidP="007D152A">
            <w:pPr>
              <w:pStyle w:val="1"/>
              <w:keepNext w:val="0"/>
              <w:widowControl w:val="0"/>
              <w:numPr>
                <w:ilvl w:val="0"/>
                <w:numId w:val="0"/>
              </w:numPr>
              <w:spacing w:after="120"/>
              <w:outlineLvl w:val="0"/>
              <w:rPr>
                <w:b w:val="0"/>
                <w:i w:val="0"/>
                <w:sz w:val="20"/>
                <w:lang w:val="en-GB"/>
              </w:rPr>
            </w:pPr>
            <w:r w:rsidRPr="00E93C8D">
              <w:rPr>
                <w:b w:val="0"/>
                <w:i w:val="0"/>
                <w:sz w:val="20"/>
                <w:lang w:val="en-GB"/>
              </w:rPr>
              <w:t xml:space="preserve">(b) Deloitte and its </w:t>
            </w:r>
            <w:r w:rsidR="00740E83" w:rsidRPr="00E93C8D">
              <w:rPr>
                <w:b w:val="0"/>
                <w:i w:val="0"/>
                <w:sz w:val="20"/>
                <w:lang w:val="en-GB"/>
              </w:rPr>
              <w:t>Subcontractors</w:t>
            </w:r>
            <w:r w:rsidRPr="00E93C8D">
              <w:rPr>
                <w:b w:val="0"/>
                <w:i w:val="0"/>
                <w:sz w:val="20"/>
                <w:lang w:val="en-GB"/>
              </w:rPr>
              <w:t>, in connection with performing the Services, may develop or acquire general experience, skills, knowledge, and ideas</w:t>
            </w:r>
            <w:r w:rsidR="007D152A" w:rsidRPr="00E93C8D">
              <w:rPr>
                <w:b w:val="0"/>
                <w:i w:val="0"/>
                <w:sz w:val="20"/>
                <w:lang w:val="en-GB"/>
              </w:rPr>
              <w:t>.</w:t>
            </w:r>
            <w:r w:rsidRPr="00E93C8D">
              <w:rPr>
                <w:b w:val="0"/>
                <w:i w:val="0"/>
                <w:sz w:val="20"/>
                <w:lang w:val="en-GB"/>
              </w:rPr>
              <w:t xml:space="preserve"> </w:t>
            </w:r>
            <w:r w:rsidR="007D152A" w:rsidRPr="00E93C8D">
              <w:rPr>
                <w:b w:val="0"/>
                <w:i w:val="0"/>
                <w:sz w:val="20"/>
                <w:lang w:val="en-GB"/>
              </w:rPr>
              <w:t>A</w:t>
            </w:r>
            <w:r w:rsidRPr="00E93C8D">
              <w:rPr>
                <w:b w:val="0"/>
                <w:i w:val="0"/>
                <w:sz w:val="20"/>
                <w:lang w:val="en-GB"/>
              </w:rPr>
              <w:t xml:space="preserve">ny Deloitte Entity may use and disclose such experience, skills, knowledge and ideas subject to the obligations of confidentiality set out in </w:t>
            </w:r>
            <w:r w:rsidR="007D152A" w:rsidRPr="00E93C8D">
              <w:rPr>
                <w:b w:val="0"/>
                <w:i w:val="0"/>
                <w:sz w:val="20"/>
                <w:lang w:val="en-GB"/>
              </w:rPr>
              <w:t>Paragraph 10</w:t>
            </w:r>
            <w:r w:rsidRPr="00E93C8D">
              <w:rPr>
                <w:b w:val="0"/>
                <w:i w:val="0"/>
                <w:sz w:val="20"/>
                <w:lang w:val="en-GB"/>
              </w:rPr>
              <w:t>.</w:t>
            </w:r>
          </w:p>
        </w:tc>
        <w:tc>
          <w:tcPr>
            <w:tcW w:w="4820" w:type="dxa"/>
            <w:gridSpan w:val="2"/>
          </w:tcPr>
          <w:p w:rsidR="00975AE5" w:rsidRPr="00E93C8D" w:rsidRDefault="00975AE5" w:rsidP="007D152A">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b</w:t>
            </w:r>
            <w:r w:rsidRPr="00E93C8D">
              <w:rPr>
                <w:b w:val="0"/>
                <w:i w:val="0"/>
                <w:sz w:val="20"/>
                <w:lang w:val="ru-RU"/>
              </w:rPr>
              <w:t xml:space="preserve">) </w:t>
            </w:r>
            <w:r w:rsidR="00D670A1" w:rsidRPr="00E93C8D">
              <w:rPr>
                <w:b w:val="0"/>
                <w:i w:val="0"/>
                <w:sz w:val="20"/>
                <w:lang w:val="ru-RU"/>
              </w:rPr>
              <w:t>В</w:t>
            </w:r>
            <w:r w:rsidRPr="00E93C8D">
              <w:rPr>
                <w:b w:val="0"/>
                <w:i w:val="0"/>
                <w:sz w:val="20"/>
                <w:lang w:val="ru-RU"/>
              </w:rPr>
              <w:t xml:space="preserve"> ходе оказания Услуг Делойт и его Субподрядчики, могут разработать или приобрести общий опыт, умения, знания и идеи. </w:t>
            </w:r>
            <w:r w:rsidR="007D152A" w:rsidRPr="00E93C8D">
              <w:rPr>
                <w:b w:val="0"/>
                <w:i w:val="0"/>
                <w:sz w:val="20"/>
                <w:lang w:val="ru-RU"/>
              </w:rPr>
              <w:t>Л</w:t>
            </w:r>
            <w:r w:rsidRPr="00E93C8D">
              <w:rPr>
                <w:b w:val="0"/>
                <w:i w:val="0"/>
                <w:sz w:val="20"/>
                <w:lang w:val="ru-RU"/>
              </w:rPr>
              <w:t xml:space="preserve">юбая из Компаний "Делойт” может использовать и раскрывать указанный опыт, умения, знания и идеи при соблюдении обязанностей по сохранению конфиденциальности, указанных в пункте </w:t>
            </w:r>
            <w:r w:rsidR="007D152A" w:rsidRPr="00E93C8D">
              <w:rPr>
                <w:b w:val="0"/>
                <w:i w:val="0"/>
                <w:sz w:val="20"/>
                <w:lang w:val="ru-RU"/>
              </w:rPr>
              <w:t>10</w:t>
            </w:r>
            <w:r w:rsidRPr="00E93C8D">
              <w:rPr>
                <w:b w:val="0"/>
                <w:i w:val="0"/>
                <w:sz w:val="20"/>
                <w:lang w:val="ru-RU"/>
              </w:rPr>
              <w:t>.</w:t>
            </w:r>
          </w:p>
        </w:tc>
      </w:tr>
      <w:tr w:rsidR="00E93C8D" w:rsidRPr="009576BA" w:rsidTr="009576BA">
        <w:trPr>
          <w:gridAfter w:val="1"/>
          <w:wAfter w:w="392" w:type="dxa"/>
        </w:trPr>
        <w:tc>
          <w:tcPr>
            <w:tcW w:w="4820" w:type="dxa"/>
            <w:gridSpan w:val="2"/>
          </w:tcPr>
          <w:p w:rsidR="00975AE5" w:rsidRPr="00E93C8D" w:rsidRDefault="00975AE5" w:rsidP="002F749A">
            <w:pPr>
              <w:pStyle w:val="1"/>
              <w:keepNext w:val="0"/>
              <w:widowControl w:val="0"/>
              <w:numPr>
                <w:ilvl w:val="0"/>
                <w:numId w:val="0"/>
              </w:numPr>
              <w:spacing w:after="120"/>
              <w:outlineLvl w:val="0"/>
              <w:rPr>
                <w:b w:val="0"/>
                <w:i w:val="0"/>
                <w:sz w:val="20"/>
              </w:rPr>
            </w:pPr>
            <w:r w:rsidRPr="00E93C8D">
              <w:rPr>
                <w:b w:val="0"/>
                <w:i w:val="0"/>
                <w:sz w:val="20"/>
                <w:lang w:val="en-GB"/>
              </w:rPr>
              <w:t xml:space="preserve">(c) </w:t>
            </w:r>
            <w:r w:rsidRPr="00E93C8D" w:rsidDel="00AC3C0E">
              <w:rPr>
                <w:b w:val="0"/>
                <w:i w:val="0"/>
                <w:sz w:val="20"/>
              </w:rPr>
              <w:t>T</w:t>
            </w:r>
            <w:r w:rsidRPr="00E93C8D">
              <w:rPr>
                <w:b w:val="0"/>
                <w:i w:val="0"/>
                <w:sz w:val="20"/>
              </w:rPr>
              <w:t>he Client shall also be entitled to have access to and use of those Deloitte Technologies supplied solely for the purposes of receiving the Services and for no other purposes in accordance with and subject to the provisions of the licen</w:t>
            </w:r>
            <w:r w:rsidR="002F749A" w:rsidRPr="00E93C8D">
              <w:rPr>
                <w:b w:val="0"/>
                <w:i w:val="0"/>
                <w:sz w:val="20"/>
                <w:lang w:val="ru-RU"/>
              </w:rPr>
              <w:t>с</w:t>
            </w:r>
            <w:r w:rsidRPr="00E93C8D">
              <w:rPr>
                <w:b w:val="0"/>
                <w:i w:val="0"/>
                <w:sz w:val="20"/>
              </w:rPr>
              <w:t>es applicable to such Deloitte Technologies as notified by Deloitte and agreed by the Client (acting reasonably). As between the Client and Deloitte, and for the benefit of the respective Deloitte Entity owning</w:t>
            </w:r>
            <w:r w:rsidR="002F749A" w:rsidRPr="00E93C8D">
              <w:rPr>
                <w:b w:val="0"/>
                <w:i w:val="0"/>
                <w:sz w:val="20"/>
              </w:rPr>
              <w:t xml:space="preserve"> the</w:t>
            </w:r>
            <w:r w:rsidRPr="00E93C8D">
              <w:rPr>
                <w:b w:val="0"/>
                <w:i w:val="0"/>
                <w:sz w:val="20"/>
              </w:rPr>
              <w:t xml:space="preserve"> </w:t>
            </w:r>
            <w:r w:rsidR="00F21B22" w:rsidRPr="00E93C8D">
              <w:rPr>
                <w:b w:val="0"/>
                <w:i w:val="0"/>
                <w:sz w:val="20"/>
              </w:rPr>
              <w:t>Deloitte</w:t>
            </w:r>
            <w:r w:rsidRPr="00E93C8D">
              <w:rPr>
                <w:b w:val="0"/>
                <w:i w:val="0"/>
                <w:sz w:val="20"/>
              </w:rPr>
              <w:t xml:space="preserve"> Technologies, Deloitte and/or the respective Deloitte Entity will own and retain ownership of all intellectual property rights and other proprietary rights of any kind in</w:t>
            </w:r>
            <w:r w:rsidR="002F749A" w:rsidRPr="00E93C8D">
              <w:rPr>
                <w:b w:val="0"/>
                <w:i w:val="0"/>
                <w:sz w:val="20"/>
              </w:rPr>
              <w:t xml:space="preserve"> the</w:t>
            </w:r>
            <w:r w:rsidRPr="00E93C8D">
              <w:rPr>
                <w:b w:val="0"/>
                <w:i w:val="0"/>
                <w:sz w:val="20"/>
              </w:rPr>
              <w:t xml:space="preserve"> </w:t>
            </w:r>
            <w:r w:rsidR="00F21B22" w:rsidRPr="00E93C8D">
              <w:rPr>
                <w:b w:val="0"/>
                <w:i w:val="0"/>
                <w:sz w:val="20"/>
              </w:rPr>
              <w:t>Deloitte</w:t>
            </w:r>
            <w:r w:rsidRPr="00E93C8D">
              <w:rPr>
                <w:b w:val="0"/>
                <w:i w:val="0"/>
                <w:sz w:val="20"/>
              </w:rPr>
              <w:t xml:space="preserve"> Technologies that are used or developed in connection with th</w:t>
            </w:r>
            <w:r w:rsidR="002F749A" w:rsidRPr="00E93C8D">
              <w:rPr>
                <w:b w:val="0"/>
                <w:i w:val="0"/>
                <w:sz w:val="20"/>
              </w:rPr>
              <w:t>e</w:t>
            </w:r>
            <w:r w:rsidRPr="00E93C8D">
              <w:rPr>
                <w:b w:val="0"/>
                <w:i w:val="0"/>
                <w:sz w:val="20"/>
              </w:rPr>
              <w:t xml:space="preserve"> Contract.   </w:t>
            </w:r>
          </w:p>
        </w:tc>
        <w:tc>
          <w:tcPr>
            <w:tcW w:w="4820" w:type="dxa"/>
            <w:gridSpan w:val="2"/>
          </w:tcPr>
          <w:p w:rsidR="00975AE5" w:rsidRPr="00E93C8D" w:rsidRDefault="00975AE5" w:rsidP="002F749A">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c</w:t>
            </w:r>
            <w:r w:rsidRPr="00E93C8D">
              <w:rPr>
                <w:b w:val="0"/>
                <w:i w:val="0"/>
                <w:sz w:val="20"/>
                <w:lang w:val="ru-RU"/>
              </w:rPr>
              <w:t xml:space="preserve">) Клиент также будет иметь право на доступ к Технологиям Делойт, предоставляемым только в целях получения Услуг и ни в каких иных целях в соответствии с положениями лицензий, действующих в отношении таких Технологий Делойт, о которых Делойт известил Клиента, и которые приняты Клиентом (действуя в разумных пределах). Как это согласовано между Клиентом и Делойт (и в интересах соответствующей Компании Делойт, обладающей правами на Технологии Делойт), Делойт и/или соответствующая Компания Делойт   владеет всеми интеллектуальными правами и иными вещными правами любого рода на Технологии Делойт, которые были использованы или разработаны в связи с </w:t>
            </w:r>
            <w:r w:rsidRPr="00E93C8D">
              <w:rPr>
                <w:b w:val="0"/>
                <w:i w:val="0"/>
                <w:sz w:val="20"/>
                <w:lang w:val="ru-RU" w:eastAsia="ru-RU"/>
              </w:rPr>
              <w:t>Договором</w:t>
            </w:r>
            <w:r w:rsidRPr="00E93C8D">
              <w:rPr>
                <w:b w:val="0"/>
                <w:i w:val="0"/>
                <w:sz w:val="20"/>
                <w:lang w:val="ru-RU"/>
              </w:rPr>
              <w:t xml:space="preserve">. </w:t>
            </w:r>
          </w:p>
        </w:tc>
      </w:tr>
      <w:tr w:rsidR="00E93C8D" w:rsidRPr="00E94258"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rPr>
            </w:pPr>
            <w:r w:rsidRPr="00E93C8D">
              <w:rPr>
                <w:b w:val="0"/>
                <w:i w:val="0"/>
                <w:sz w:val="20"/>
              </w:rPr>
              <w:t xml:space="preserve">(d) “Deloitte Technologies” means all know-how and software, system interfaces, templates, methodologies, ideas, concepts, techniques, tools, processes, and technologies, including web-based technologies and algorithms owned by, licensed to or developed by any Deloitte Entity and used by Deloitte and its </w:t>
            </w:r>
            <w:r w:rsidR="00740E83" w:rsidRPr="00E93C8D">
              <w:rPr>
                <w:b w:val="0"/>
                <w:i w:val="0"/>
                <w:sz w:val="20"/>
                <w:lang w:val="en-GB"/>
              </w:rPr>
              <w:t>Subcontractors</w:t>
            </w:r>
            <w:r w:rsidRPr="00E93C8D">
              <w:rPr>
                <w:b w:val="0"/>
                <w:i w:val="0"/>
                <w:sz w:val="20"/>
              </w:rPr>
              <w:t xml:space="preserve"> in performing the Services or its other obligations.</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d</w:t>
            </w:r>
            <w:r w:rsidRPr="00E93C8D">
              <w:rPr>
                <w:b w:val="0"/>
                <w:i w:val="0"/>
                <w:sz w:val="20"/>
                <w:lang w:val="ru-RU"/>
              </w:rPr>
              <w:t xml:space="preserve">) Под «Технологиями Делойт» понимаются все ноу-хау, программное обеспечение, системные интерфейсы, шаблоны, методики, идеи, концепции, приемы, инструменты, процессы и технологии, включая интернет-технологии и алгоритмы, принадлежащие на праве собственности или по лицензии какой-либо Компании Делойт или разработанные такой Компанией и используемые Делойтом и его Субподрядчиками при оказании Услуг или выполнении иных своих обязательств. </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i w:val="0"/>
                <w:sz w:val="20"/>
              </w:rPr>
            </w:pPr>
            <w:bookmarkStart w:id="1" w:name="OLE_LINK1"/>
            <w:bookmarkStart w:id="2" w:name="OLE_LINK2"/>
            <w:r w:rsidRPr="00E93C8D">
              <w:rPr>
                <w:bCs/>
                <w:i w:val="0"/>
                <w:sz w:val="20"/>
                <w:lang w:val="ru-RU"/>
              </w:rPr>
              <w:t xml:space="preserve">6. </w:t>
            </w:r>
            <w:r w:rsidRPr="00E93C8D">
              <w:rPr>
                <w:bCs/>
                <w:i w:val="0"/>
                <w:sz w:val="20"/>
              </w:rPr>
              <w:t xml:space="preserve">Limitations on Damages  </w:t>
            </w:r>
          </w:p>
        </w:tc>
        <w:tc>
          <w:tcPr>
            <w:tcW w:w="4820" w:type="dxa"/>
            <w:gridSpan w:val="2"/>
          </w:tcPr>
          <w:p w:rsidR="00975AE5" w:rsidRPr="00E93C8D" w:rsidRDefault="00975AE5" w:rsidP="003E124E">
            <w:pPr>
              <w:pStyle w:val="1"/>
              <w:keepNext w:val="0"/>
              <w:widowControl w:val="0"/>
              <w:numPr>
                <w:ilvl w:val="0"/>
                <w:numId w:val="0"/>
              </w:numPr>
              <w:tabs>
                <w:tab w:val="num" w:pos="900"/>
              </w:tabs>
              <w:spacing w:after="120"/>
              <w:outlineLvl w:val="0"/>
              <w:rPr>
                <w:b w:val="0"/>
                <w:bCs/>
                <w:i w:val="0"/>
                <w:sz w:val="20"/>
              </w:rPr>
            </w:pPr>
            <w:r w:rsidRPr="00E93C8D">
              <w:rPr>
                <w:bCs/>
                <w:i w:val="0"/>
                <w:sz w:val="20"/>
              </w:rPr>
              <w:t>6. Ограничение на возмещение убытков</w:t>
            </w:r>
          </w:p>
        </w:tc>
      </w:tr>
      <w:tr w:rsidR="00E93C8D" w:rsidRPr="00E93C8D" w:rsidTr="009576BA">
        <w:trPr>
          <w:gridAfter w:val="1"/>
          <w:wAfter w:w="392" w:type="dxa"/>
        </w:trPr>
        <w:tc>
          <w:tcPr>
            <w:tcW w:w="4820" w:type="dxa"/>
            <w:gridSpan w:val="2"/>
          </w:tcPr>
          <w:p w:rsidR="00975AE5" w:rsidRPr="00E93C8D" w:rsidRDefault="00975AE5" w:rsidP="00901EB6">
            <w:pPr>
              <w:pStyle w:val="1"/>
              <w:keepNext w:val="0"/>
              <w:widowControl w:val="0"/>
              <w:numPr>
                <w:ilvl w:val="0"/>
                <w:numId w:val="0"/>
              </w:numPr>
              <w:spacing w:after="120"/>
              <w:outlineLvl w:val="0"/>
              <w:rPr>
                <w:b w:val="0"/>
                <w:i w:val="0"/>
                <w:sz w:val="20"/>
              </w:rPr>
            </w:pPr>
            <w:r w:rsidRPr="00E93C8D">
              <w:rPr>
                <w:b w:val="0"/>
                <w:i w:val="0"/>
                <w:sz w:val="20"/>
              </w:rPr>
              <w:t>(</w:t>
            </w:r>
            <w:r w:rsidRPr="00E93C8D">
              <w:rPr>
                <w:b w:val="0"/>
                <w:bCs/>
                <w:i w:val="0"/>
                <w:sz w:val="20"/>
              </w:rPr>
              <w:t xml:space="preserve">a) Deloitte, </w:t>
            </w:r>
            <w:r w:rsidRPr="00E93C8D">
              <w:rPr>
                <w:b w:val="0"/>
                <w:i w:val="0"/>
                <w:sz w:val="20"/>
              </w:rPr>
              <w:t xml:space="preserve">shall not be liable to the Client for any claims, liabilities, losses, damages, costs or expenses arising under or in connection with the Contract (“Claims”) for an aggregate amount in excess of </w:t>
            </w:r>
            <w:r w:rsidRPr="00E93C8D" w:rsidDel="004734E8">
              <w:rPr>
                <w:b w:val="0"/>
                <w:i w:val="0"/>
                <w:sz w:val="20"/>
              </w:rPr>
              <w:t xml:space="preserve">the fees paid </w:t>
            </w:r>
            <w:r w:rsidRPr="00E93C8D">
              <w:rPr>
                <w:b w:val="0"/>
                <w:i w:val="0"/>
                <w:sz w:val="20"/>
              </w:rPr>
              <w:t xml:space="preserve">under the Contract </w:t>
            </w:r>
            <w:r w:rsidRPr="00E93C8D" w:rsidDel="004734E8">
              <w:rPr>
                <w:b w:val="0"/>
                <w:i w:val="0"/>
                <w:sz w:val="20"/>
              </w:rPr>
              <w:t>by the Client to Deloitte</w:t>
            </w:r>
            <w:r w:rsidRPr="00E93C8D">
              <w:rPr>
                <w:b w:val="0"/>
                <w:i w:val="0"/>
                <w:sz w:val="20"/>
              </w:rPr>
              <w:t xml:space="preserve">, for that part of the Services giving rise to the Claim except to the extent it is finally determined to have resulted primarily from the intentional misconduct of Deloitte, any Deloitte Entity or any </w:t>
            </w:r>
            <w:r w:rsidR="00740E83" w:rsidRPr="00E93C8D">
              <w:rPr>
                <w:b w:val="0"/>
                <w:i w:val="0"/>
                <w:sz w:val="20"/>
                <w:lang w:val="en-GB"/>
              </w:rPr>
              <w:t>Subcontractor</w:t>
            </w:r>
            <w:r w:rsidRPr="00E93C8D">
              <w:rPr>
                <w:b w:val="0"/>
                <w:i w:val="0"/>
                <w:sz w:val="20"/>
              </w:rPr>
              <w:t xml:space="preserve"> retained for providing </w:t>
            </w:r>
            <w:r w:rsidR="00901EB6" w:rsidRPr="00E93C8D">
              <w:rPr>
                <w:b w:val="0"/>
                <w:i w:val="0"/>
                <w:sz w:val="20"/>
              </w:rPr>
              <w:t>the Services</w:t>
            </w:r>
            <w:r w:rsidRPr="00E93C8D">
              <w:rPr>
                <w:b w:val="0"/>
                <w:i w:val="0"/>
                <w:sz w:val="20"/>
              </w:rPr>
              <w:t>.</w:t>
            </w:r>
          </w:p>
        </w:tc>
        <w:tc>
          <w:tcPr>
            <w:tcW w:w="4820" w:type="dxa"/>
            <w:gridSpan w:val="2"/>
          </w:tcPr>
          <w:p w:rsidR="00975AE5" w:rsidRPr="00E93C8D" w:rsidRDefault="00975AE5" w:rsidP="00901EB6">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(а) Ответственность Делойт перед </w:t>
            </w:r>
            <w:r w:rsidR="005A7AED" w:rsidRPr="00E93C8D">
              <w:rPr>
                <w:b w:val="0"/>
                <w:i w:val="0"/>
                <w:sz w:val="20"/>
                <w:lang w:val="ru-RU"/>
              </w:rPr>
              <w:t>Клиентом</w:t>
            </w:r>
            <w:r w:rsidRPr="00E93C8D">
              <w:rPr>
                <w:b w:val="0"/>
                <w:i w:val="0"/>
                <w:sz w:val="20"/>
                <w:lang w:val="ru-RU"/>
              </w:rPr>
              <w:t xml:space="preserve"> в связи с любыми требованиями, обязательствами, убытками, ущербом, затратами или издержками, связанными с Договором (далее – "Требования") не может превышать сумму вознаграждения, уплаченного Клиентом Делойт за ту часть Услуг, на основании которой возникло Требование, за исключением случаев, когда судом будет установлено, что указанная ответственность возникла в результате умышленных противоправных действий Делойт, любой другой Компании Делойт или любого Субподрядчика, привлеченного к </w:t>
            </w:r>
            <w:r w:rsidRPr="00E93C8D">
              <w:rPr>
                <w:b w:val="0"/>
                <w:i w:val="0"/>
                <w:sz w:val="20"/>
                <w:lang w:val="ru-RU"/>
              </w:rPr>
              <w:lastRenderedPageBreak/>
              <w:t xml:space="preserve">оказанию </w:t>
            </w:r>
            <w:r w:rsidR="00901EB6" w:rsidRPr="00E93C8D">
              <w:rPr>
                <w:b w:val="0"/>
                <w:i w:val="0"/>
                <w:sz w:val="20"/>
                <w:lang w:val="ru-RU"/>
              </w:rPr>
              <w:t>Услуг</w:t>
            </w:r>
            <w:r w:rsidRPr="00E93C8D">
              <w:rPr>
                <w:b w:val="0"/>
                <w:i w:val="0"/>
                <w:sz w:val="20"/>
                <w:lang w:val="ru-RU"/>
              </w:rPr>
              <w:t xml:space="preserve">. </w:t>
            </w:r>
          </w:p>
        </w:tc>
      </w:tr>
      <w:tr w:rsidR="00E93C8D" w:rsidRPr="00E94258"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trike/>
                <w:sz w:val="20"/>
              </w:rPr>
            </w:pPr>
            <w:r w:rsidRPr="00E93C8D">
              <w:rPr>
                <w:b w:val="0"/>
                <w:i w:val="0"/>
                <w:sz w:val="20"/>
              </w:rPr>
              <w:lastRenderedPageBreak/>
              <w:t xml:space="preserve">(b) In no event shall any </w:t>
            </w:r>
            <w:r w:rsidRPr="00E93C8D">
              <w:rPr>
                <w:b w:val="0"/>
                <w:i w:val="0"/>
                <w:sz w:val="20"/>
                <w:lang w:val="en-GB"/>
              </w:rPr>
              <w:t>Deloitte</w:t>
            </w:r>
            <w:r w:rsidRPr="00E93C8D">
              <w:rPr>
                <w:b w:val="0"/>
                <w:i w:val="0"/>
                <w:sz w:val="20"/>
              </w:rPr>
              <w:t xml:space="preserve"> Entity (including Deloitte and its </w:t>
            </w:r>
            <w:r w:rsidR="00740E83" w:rsidRPr="00E93C8D">
              <w:rPr>
                <w:b w:val="0"/>
                <w:i w:val="0"/>
                <w:sz w:val="20"/>
                <w:lang w:val="en-GB"/>
              </w:rPr>
              <w:t>Subcontractors</w:t>
            </w:r>
            <w:r w:rsidRPr="00E93C8D">
              <w:rPr>
                <w:b w:val="0"/>
                <w:i w:val="0"/>
                <w:sz w:val="20"/>
              </w:rPr>
              <w:t xml:space="preserve">) be liable for any losses incurred as a result of loss of use, contracts, data, goodwill, revenues or profits (whether or not deemed to constitute direct Claims) or any consequential, special, indirect, incidental, punitive or exemplary loss, damage, or expense arising under or in connection with the Contract.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b</w:t>
            </w:r>
            <w:r w:rsidRPr="00E93C8D">
              <w:rPr>
                <w:b w:val="0"/>
                <w:i w:val="0"/>
                <w:sz w:val="20"/>
                <w:lang w:val="ru-RU"/>
              </w:rPr>
              <w:t xml:space="preserve">) Компании Делойт (включая Делойт и его Субподрядчиков) не несут ответственность за любые убытки, вызванные невозможностью использования, неполучением заказов, утратой данных или деловой репутации, упущенной выгодой (независимо от того, считаются ли такие убытки прямыми Требованиями), а также за любые косвенные, особые, случайные или штрафные убытки, ущерб, или расходы, имеющие отношение к </w:t>
            </w:r>
            <w:r w:rsidRPr="00E93C8D">
              <w:rPr>
                <w:b w:val="0"/>
                <w:i w:val="0"/>
                <w:sz w:val="20"/>
                <w:lang w:val="ru-RU" w:eastAsia="ru-RU"/>
              </w:rPr>
              <w:t>Договору</w:t>
            </w:r>
            <w:r w:rsidRPr="00E93C8D">
              <w:rPr>
                <w:b w:val="0"/>
                <w:i w:val="0"/>
                <w:sz w:val="20"/>
                <w:lang w:val="ru-RU"/>
              </w:rPr>
              <w:t xml:space="preserve">. </w:t>
            </w:r>
          </w:p>
        </w:tc>
      </w:tr>
      <w:tr w:rsidR="00E93C8D" w:rsidRPr="00E94258" w:rsidTr="009576BA">
        <w:trPr>
          <w:gridAfter w:val="1"/>
          <w:wAfter w:w="392" w:type="dxa"/>
        </w:trPr>
        <w:tc>
          <w:tcPr>
            <w:tcW w:w="4820" w:type="dxa"/>
            <w:gridSpan w:val="2"/>
          </w:tcPr>
          <w:p w:rsidR="00975AE5" w:rsidRPr="00E93C8D" w:rsidRDefault="00975AE5" w:rsidP="00901EB6">
            <w:pPr>
              <w:pStyle w:val="1"/>
              <w:keepNext w:val="0"/>
              <w:widowControl w:val="0"/>
              <w:numPr>
                <w:ilvl w:val="0"/>
                <w:numId w:val="0"/>
              </w:numPr>
              <w:spacing w:after="120"/>
              <w:outlineLvl w:val="0"/>
              <w:rPr>
                <w:b w:val="0"/>
                <w:i w:val="0"/>
                <w:sz w:val="20"/>
              </w:rPr>
            </w:pPr>
            <w:r w:rsidRPr="00E93C8D">
              <w:rPr>
                <w:b w:val="0"/>
                <w:i w:val="0"/>
                <w:sz w:val="20"/>
              </w:rPr>
              <w:t xml:space="preserve">(c) In circumstances where all or any portion of the provisions of this </w:t>
            </w:r>
            <w:r w:rsidR="00901EB6" w:rsidRPr="00E93C8D">
              <w:rPr>
                <w:b w:val="0"/>
                <w:i w:val="0"/>
                <w:sz w:val="20"/>
              </w:rPr>
              <w:t>Paragraph</w:t>
            </w:r>
            <w:r w:rsidRPr="00E93C8D">
              <w:rPr>
                <w:b w:val="0"/>
                <w:i w:val="0"/>
                <w:sz w:val="20"/>
              </w:rPr>
              <w:t xml:space="preserve"> 6 are finally determined to be unenforceable, the aggregate liability of Deloitte, any other </w:t>
            </w:r>
            <w:r w:rsidRPr="00E93C8D">
              <w:rPr>
                <w:b w:val="0"/>
                <w:i w:val="0"/>
                <w:sz w:val="20"/>
                <w:lang w:val="en-GB"/>
              </w:rPr>
              <w:t>Deloitte</w:t>
            </w:r>
            <w:r w:rsidRPr="00E93C8D">
              <w:rPr>
                <w:b w:val="0"/>
                <w:i w:val="0"/>
                <w:sz w:val="20"/>
              </w:rPr>
              <w:t xml:space="preserve"> Entity (including </w:t>
            </w:r>
            <w:r w:rsidR="00740E83" w:rsidRPr="00E93C8D">
              <w:rPr>
                <w:b w:val="0"/>
                <w:i w:val="0"/>
                <w:sz w:val="20"/>
                <w:lang w:val="en-GB"/>
              </w:rPr>
              <w:t>Subcontractors</w:t>
            </w:r>
            <w:r w:rsidRPr="00E93C8D">
              <w:rPr>
                <w:b w:val="0"/>
                <w:i w:val="0"/>
                <w:sz w:val="20"/>
              </w:rPr>
              <w:t xml:space="preserve">) and their respective personnel for any Claim shall not exceed an amount which is proportional to the relative fault that their conduct bears to all other conduct giving rise to such Claim.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c</w:t>
            </w:r>
            <w:r w:rsidRPr="00E93C8D">
              <w:rPr>
                <w:b w:val="0"/>
                <w:i w:val="0"/>
                <w:sz w:val="20"/>
                <w:lang w:val="ru-RU"/>
              </w:rPr>
              <w:t>) В случае, если положения настоящего пункта 6 будут признаны судом не имеющими юридической силы, совокупная ответственность Делойт, любой другой Компании Делойт (включая Субподрядчиков) или их работников по любым Требованиям не может превышать сумму, пропорциональную доле их виновных действий в прочих виновных действиях, ставших причиной соответствующих Требований.</w:t>
            </w:r>
          </w:p>
        </w:tc>
      </w:tr>
      <w:tr w:rsidR="00E93C8D" w:rsidRPr="009576BA" w:rsidTr="009576BA">
        <w:trPr>
          <w:gridAfter w:val="1"/>
          <w:wAfter w:w="392" w:type="dxa"/>
        </w:trPr>
        <w:tc>
          <w:tcPr>
            <w:tcW w:w="4820" w:type="dxa"/>
            <w:gridSpan w:val="2"/>
          </w:tcPr>
          <w:p w:rsidR="00975AE5" w:rsidRPr="00E93C8D" w:rsidRDefault="00975AE5" w:rsidP="004B5CE9">
            <w:pPr>
              <w:pStyle w:val="1"/>
              <w:keepNext w:val="0"/>
              <w:widowControl w:val="0"/>
              <w:numPr>
                <w:ilvl w:val="0"/>
                <w:numId w:val="0"/>
              </w:numPr>
              <w:spacing w:after="120"/>
              <w:outlineLvl w:val="0"/>
              <w:rPr>
                <w:b w:val="0"/>
                <w:i w:val="0"/>
                <w:sz w:val="20"/>
              </w:rPr>
            </w:pPr>
            <w:r w:rsidRPr="00E93C8D">
              <w:rPr>
                <w:b w:val="0"/>
                <w:i w:val="0"/>
                <w:sz w:val="20"/>
              </w:rPr>
              <w:t>(d) Deloitte’s responsibility for the Services is solely towards the Client identified in the Contract or Advice to be entitled to rely on the Services, and not towards any other members of the Client Group.</w:t>
            </w:r>
          </w:p>
        </w:tc>
        <w:tc>
          <w:tcPr>
            <w:tcW w:w="4820" w:type="dxa"/>
            <w:gridSpan w:val="2"/>
          </w:tcPr>
          <w:p w:rsidR="00975AE5" w:rsidRPr="00E93C8D" w:rsidRDefault="00975AE5" w:rsidP="00901EB6">
            <w:pPr>
              <w:pStyle w:val="1"/>
              <w:keepNext w:val="0"/>
              <w:widowControl w:val="0"/>
              <w:numPr>
                <w:ilvl w:val="0"/>
                <w:numId w:val="0"/>
              </w:numPr>
              <w:spacing w:after="120"/>
              <w:outlineLvl w:val="0"/>
              <w:rPr>
                <w:b w:val="0"/>
                <w:i w:val="0"/>
                <w:sz w:val="20"/>
                <w:lang w:val="ru-RU"/>
              </w:rPr>
            </w:pPr>
            <w:r w:rsidRPr="00E93C8D">
              <w:rPr>
                <w:b w:val="0"/>
                <w:i w:val="0"/>
                <w:sz w:val="20"/>
                <w:lang w:val="ru-RU"/>
              </w:rPr>
              <w:t>(d) Делойт несет ответственность за Услуги исключительно перед Клиент</w:t>
            </w:r>
            <w:r w:rsidR="00901EB6" w:rsidRPr="00E93C8D">
              <w:rPr>
                <w:b w:val="0"/>
                <w:i w:val="0"/>
                <w:sz w:val="20"/>
                <w:lang w:val="ru-RU"/>
              </w:rPr>
              <w:t>ом</w:t>
            </w:r>
            <w:r w:rsidRPr="00E93C8D">
              <w:rPr>
                <w:b w:val="0"/>
                <w:i w:val="0"/>
                <w:sz w:val="20"/>
                <w:lang w:val="ru-RU"/>
              </w:rPr>
              <w:t>, указанным в Договоре или Рекомендации как лиц</w:t>
            </w:r>
            <w:r w:rsidR="00901EB6" w:rsidRPr="00E93C8D">
              <w:rPr>
                <w:b w:val="0"/>
                <w:i w:val="0"/>
                <w:sz w:val="20"/>
                <w:lang w:val="ru-RU"/>
              </w:rPr>
              <w:t>о</w:t>
            </w:r>
            <w:r w:rsidRPr="00E93C8D">
              <w:rPr>
                <w:b w:val="0"/>
                <w:i w:val="0"/>
                <w:sz w:val="20"/>
                <w:lang w:val="ru-RU"/>
              </w:rPr>
              <w:t>, имеющ</w:t>
            </w:r>
            <w:r w:rsidR="00901EB6" w:rsidRPr="00E93C8D">
              <w:rPr>
                <w:b w:val="0"/>
                <w:i w:val="0"/>
                <w:sz w:val="20"/>
                <w:lang w:val="ru-RU"/>
              </w:rPr>
              <w:t>е</w:t>
            </w:r>
            <w:r w:rsidRPr="00E93C8D">
              <w:rPr>
                <w:b w:val="0"/>
                <w:i w:val="0"/>
                <w:sz w:val="20"/>
                <w:lang w:val="ru-RU"/>
              </w:rPr>
              <w:t xml:space="preserve">е право использовать оказанные Услуги, и не перед какими-либо иными членами Группы Клиента. </w:t>
            </w:r>
          </w:p>
        </w:tc>
      </w:tr>
      <w:tr w:rsidR="00E93C8D" w:rsidRPr="009576BA" w:rsidTr="009576BA">
        <w:trPr>
          <w:gridAfter w:val="1"/>
          <w:wAfter w:w="392" w:type="dxa"/>
        </w:trPr>
        <w:tc>
          <w:tcPr>
            <w:tcW w:w="4820" w:type="dxa"/>
            <w:gridSpan w:val="2"/>
          </w:tcPr>
          <w:p w:rsidR="00975AE5" w:rsidRPr="00E93C8D" w:rsidRDefault="00975AE5" w:rsidP="00901EB6">
            <w:pPr>
              <w:pStyle w:val="1"/>
              <w:keepNext w:val="0"/>
              <w:widowControl w:val="0"/>
              <w:numPr>
                <w:ilvl w:val="0"/>
                <w:numId w:val="0"/>
              </w:numPr>
              <w:spacing w:after="120"/>
              <w:outlineLvl w:val="0"/>
              <w:rPr>
                <w:b w:val="0"/>
                <w:i w:val="0"/>
                <w:sz w:val="20"/>
              </w:rPr>
            </w:pPr>
            <w:r w:rsidRPr="00E93C8D">
              <w:rPr>
                <w:b w:val="0"/>
                <w:i w:val="0"/>
                <w:sz w:val="20"/>
              </w:rPr>
              <w:t xml:space="preserve">(e) The liability cap in </w:t>
            </w:r>
            <w:r w:rsidR="00901EB6" w:rsidRPr="00E93C8D">
              <w:rPr>
                <w:b w:val="0"/>
                <w:i w:val="0"/>
                <w:sz w:val="20"/>
              </w:rPr>
              <w:t>Sub-Clause</w:t>
            </w:r>
            <w:r w:rsidRPr="00E93C8D">
              <w:rPr>
                <w:b w:val="0"/>
                <w:i w:val="0"/>
                <w:sz w:val="20"/>
              </w:rPr>
              <w:t xml:space="preserve"> 6(a)</w:t>
            </w:r>
            <w:r w:rsidR="00901EB6" w:rsidRPr="00E93C8D">
              <w:rPr>
                <w:b w:val="0"/>
                <w:i w:val="0"/>
                <w:sz w:val="20"/>
              </w:rPr>
              <w:t xml:space="preserve"> above</w:t>
            </w:r>
            <w:r w:rsidRPr="00E93C8D">
              <w:rPr>
                <w:b w:val="0"/>
                <w:i w:val="0"/>
                <w:sz w:val="20"/>
              </w:rPr>
              <w:t xml:space="preserve"> applies in aggregate to each and all Claims which from time to time arise under or in connection with the Contract and the Services, whether such Claims are made at the same or different times. The liability cap in </w:t>
            </w:r>
            <w:r w:rsidR="00901EB6" w:rsidRPr="00E93C8D">
              <w:rPr>
                <w:b w:val="0"/>
                <w:i w:val="0"/>
                <w:sz w:val="20"/>
              </w:rPr>
              <w:t>Sub-Clause</w:t>
            </w:r>
            <w:r w:rsidRPr="00E93C8D">
              <w:rPr>
                <w:b w:val="0"/>
                <w:i w:val="0"/>
                <w:sz w:val="20"/>
              </w:rPr>
              <w:t xml:space="preserve"> 6(a)</w:t>
            </w:r>
            <w:r w:rsidR="00901EB6" w:rsidRPr="00E93C8D">
              <w:rPr>
                <w:b w:val="0"/>
                <w:i w:val="0"/>
                <w:sz w:val="20"/>
              </w:rPr>
              <w:t xml:space="preserve"> above</w:t>
            </w:r>
            <w:r w:rsidRPr="00E93C8D">
              <w:rPr>
                <w:b w:val="0"/>
                <w:i w:val="0"/>
                <w:sz w:val="20"/>
              </w:rPr>
              <w:t xml:space="preserve"> also applies to any and all Claims against any other Deloitte Entities, including the </w:t>
            </w:r>
            <w:r w:rsidR="00740E83" w:rsidRPr="00E93C8D">
              <w:rPr>
                <w:b w:val="0"/>
                <w:i w:val="0"/>
                <w:sz w:val="20"/>
                <w:lang w:val="en-GB"/>
              </w:rPr>
              <w:t>Subcontractors</w:t>
            </w:r>
            <w:r w:rsidRPr="00E93C8D">
              <w:rPr>
                <w:b w:val="0"/>
                <w:i w:val="0"/>
                <w:sz w:val="20"/>
              </w:rPr>
              <w:t xml:space="preserve">, if and only to the extent that it is </w:t>
            </w:r>
            <w:r w:rsidR="00901EB6" w:rsidRPr="00E93C8D">
              <w:rPr>
                <w:b w:val="0"/>
                <w:i w:val="0"/>
                <w:sz w:val="20"/>
              </w:rPr>
              <w:t>finally</w:t>
            </w:r>
            <w:r w:rsidRPr="00E93C8D">
              <w:rPr>
                <w:b w:val="0"/>
                <w:i w:val="0"/>
                <w:sz w:val="20"/>
              </w:rPr>
              <w:t xml:space="preserve"> determined that any of them have any liability under or in connection with the Contract or the Services. </w:t>
            </w:r>
          </w:p>
        </w:tc>
        <w:tc>
          <w:tcPr>
            <w:tcW w:w="4820" w:type="dxa"/>
            <w:gridSpan w:val="2"/>
          </w:tcPr>
          <w:p w:rsidR="00975AE5" w:rsidRPr="00E93C8D" w:rsidRDefault="00975AE5" w:rsidP="00901EB6">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e</w:t>
            </w:r>
            <w:r w:rsidRPr="00E93C8D">
              <w:rPr>
                <w:b w:val="0"/>
                <w:i w:val="0"/>
                <w:sz w:val="20"/>
                <w:lang w:val="ru-RU"/>
              </w:rPr>
              <w:t xml:space="preserve">) Ограничение ответственности по пункту 6(а) применяется в совокупности ко всем и каждому Требованию, которые периодически возникают в связи с </w:t>
            </w:r>
            <w:r w:rsidRPr="00E93C8D">
              <w:rPr>
                <w:b w:val="0"/>
                <w:i w:val="0"/>
                <w:sz w:val="20"/>
                <w:lang w:val="ru-RU" w:eastAsia="ru-RU"/>
              </w:rPr>
              <w:t>Договором</w:t>
            </w:r>
            <w:r w:rsidRPr="00E93C8D">
              <w:rPr>
                <w:b w:val="0"/>
                <w:i w:val="0"/>
                <w:sz w:val="20"/>
                <w:lang w:val="ru-RU"/>
              </w:rPr>
              <w:t xml:space="preserve"> или Услугами, вне зависимости оттого, выдвинуты ли такие Требования одновременно или в разное время. Ограничение ответственности по пункту 6(а) также применяется ко всем и каждому Требованию по отношению к любой другой Компании Делойт, включая Субподрядчиков, при условии и в той степени, в какой </w:t>
            </w:r>
            <w:r w:rsidR="00901EB6" w:rsidRPr="00E93C8D">
              <w:rPr>
                <w:b w:val="0"/>
                <w:i w:val="0"/>
                <w:sz w:val="20"/>
                <w:lang w:val="ru-RU"/>
              </w:rPr>
              <w:t>окончательно</w:t>
            </w:r>
            <w:r w:rsidRPr="00E93C8D">
              <w:rPr>
                <w:b w:val="0"/>
                <w:i w:val="0"/>
                <w:sz w:val="20"/>
                <w:lang w:val="ru-RU"/>
              </w:rPr>
              <w:t xml:space="preserve"> установлено, что любой из них несет ответственность в связи с Договором или Услугами.</w:t>
            </w:r>
          </w:p>
        </w:tc>
      </w:tr>
      <w:tr w:rsidR="00E93C8D" w:rsidRPr="009576BA" w:rsidTr="009576BA">
        <w:trPr>
          <w:gridAfter w:val="1"/>
          <w:wAfter w:w="392" w:type="dxa"/>
        </w:trPr>
        <w:tc>
          <w:tcPr>
            <w:tcW w:w="4820" w:type="dxa"/>
            <w:gridSpan w:val="2"/>
          </w:tcPr>
          <w:p w:rsidR="00975AE5" w:rsidRPr="00E93C8D" w:rsidRDefault="00975AE5" w:rsidP="00810D5C">
            <w:pPr>
              <w:pStyle w:val="1"/>
              <w:keepNext w:val="0"/>
              <w:widowControl w:val="0"/>
              <w:numPr>
                <w:ilvl w:val="0"/>
                <w:numId w:val="0"/>
              </w:numPr>
              <w:spacing w:after="120"/>
              <w:outlineLvl w:val="0"/>
              <w:rPr>
                <w:b w:val="0"/>
                <w:i w:val="0"/>
                <w:sz w:val="20"/>
              </w:rPr>
            </w:pPr>
            <w:r w:rsidRPr="00E93C8D">
              <w:rPr>
                <w:b w:val="0"/>
                <w:i w:val="0"/>
                <w:sz w:val="20"/>
              </w:rPr>
              <w:t xml:space="preserve">(f) If the liability exclusion for other Deloitte Entities provided in </w:t>
            </w:r>
            <w:r w:rsidR="00901EB6" w:rsidRPr="00E93C8D">
              <w:rPr>
                <w:b w:val="0"/>
                <w:i w:val="0"/>
                <w:sz w:val="20"/>
              </w:rPr>
              <w:t>Sub-Clause</w:t>
            </w:r>
            <w:r w:rsidRPr="00E93C8D">
              <w:rPr>
                <w:b w:val="0"/>
                <w:i w:val="0"/>
                <w:sz w:val="20"/>
              </w:rPr>
              <w:t xml:space="preserve"> 1(d)</w:t>
            </w:r>
            <w:r w:rsidR="00901EB6" w:rsidRPr="00E93C8D">
              <w:rPr>
                <w:b w:val="0"/>
                <w:i w:val="0"/>
                <w:sz w:val="20"/>
              </w:rPr>
              <w:t xml:space="preserve"> above</w:t>
            </w:r>
            <w:r w:rsidRPr="00E93C8D">
              <w:rPr>
                <w:b w:val="0"/>
                <w:i w:val="0"/>
                <w:sz w:val="20"/>
              </w:rPr>
              <w:t xml:space="preserve"> is for any reason not effective, then the limitations on liability provided for in this </w:t>
            </w:r>
            <w:r w:rsidR="00810D5C" w:rsidRPr="00E93C8D">
              <w:rPr>
                <w:b w:val="0"/>
                <w:i w:val="0"/>
                <w:sz w:val="20"/>
              </w:rPr>
              <w:t>Paragraph</w:t>
            </w:r>
            <w:r w:rsidRPr="00E93C8D">
              <w:rPr>
                <w:b w:val="0"/>
                <w:i w:val="0"/>
                <w:sz w:val="20"/>
              </w:rPr>
              <w:t xml:space="preserve"> 6 shall apply to the other Deloitte Entities (including </w:t>
            </w:r>
            <w:r w:rsidR="00740E83" w:rsidRPr="00E93C8D">
              <w:rPr>
                <w:b w:val="0"/>
                <w:i w:val="0"/>
                <w:sz w:val="20"/>
                <w:lang w:val="en-GB"/>
              </w:rPr>
              <w:t>Subcontractors</w:t>
            </w:r>
            <w:r w:rsidRPr="00E93C8D">
              <w:rPr>
                <w:b w:val="0"/>
                <w:i w:val="0"/>
                <w:sz w:val="20"/>
              </w:rPr>
              <w:t>) as if they were named therein.</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f</w:t>
            </w:r>
            <w:r w:rsidRPr="00E93C8D">
              <w:rPr>
                <w:b w:val="0"/>
                <w:i w:val="0"/>
                <w:sz w:val="20"/>
                <w:lang w:val="ru-RU"/>
              </w:rPr>
              <w:t>) Если предусмотренное пунктом 1(</w:t>
            </w:r>
            <w:r w:rsidRPr="00E93C8D">
              <w:rPr>
                <w:b w:val="0"/>
                <w:i w:val="0"/>
                <w:sz w:val="20"/>
              </w:rPr>
              <w:t>d</w:t>
            </w:r>
            <w:r w:rsidRPr="00E93C8D">
              <w:rPr>
                <w:b w:val="0"/>
                <w:i w:val="0"/>
                <w:sz w:val="20"/>
                <w:lang w:val="ru-RU"/>
              </w:rPr>
              <w:t>) ограничение ответственности других Компаний Делойт утрачивает силу по любым основаниям, ограничения ответственности, установленные настоящим пунктом 6, применяются к другим Компаниям Делойт (включая Субподрядчиков), как если бы они были указаны в настоящем пункте.</w:t>
            </w:r>
          </w:p>
        </w:tc>
      </w:tr>
      <w:tr w:rsidR="00E93C8D" w:rsidRPr="009576BA" w:rsidTr="009576BA">
        <w:trPr>
          <w:gridAfter w:val="1"/>
          <w:wAfter w:w="392" w:type="dxa"/>
        </w:trPr>
        <w:tc>
          <w:tcPr>
            <w:tcW w:w="4820" w:type="dxa"/>
            <w:gridSpan w:val="2"/>
          </w:tcPr>
          <w:p w:rsidR="00975AE5" w:rsidRPr="00E93C8D" w:rsidRDefault="00975AE5" w:rsidP="00810D5C">
            <w:pPr>
              <w:widowControl w:val="0"/>
              <w:spacing w:after="120"/>
              <w:outlineLvl w:val="0"/>
              <w:rPr>
                <w:kern w:val="28"/>
                <w:sz w:val="20"/>
              </w:rPr>
            </w:pPr>
            <w:r w:rsidRPr="00E93C8D">
              <w:rPr>
                <w:kern w:val="28"/>
                <w:sz w:val="20"/>
              </w:rPr>
              <w:t>(g) The provisions of</w:t>
            </w:r>
            <w:r w:rsidR="00810D5C" w:rsidRPr="00E93C8D">
              <w:rPr>
                <w:kern w:val="28"/>
                <w:sz w:val="20"/>
              </w:rPr>
              <w:t xml:space="preserve"> this</w:t>
            </w:r>
            <w:r w:rsidRPr="00E93C8D">
              <w:rPr>
                <w:kern w:val="28"/>
                <w:sz w:val="20"/>
              </w:rPr>
              <w:t xml:space="preserve"> </w:t>
            </w:r>
            <w:r w:rsidR="00810D5C" w:rsidRPr="00E93C8D">
              <w:rPr>
                <w:kern w:val="28"/>
                <w:sz w:val="20"/>
              </w:rPr>
              <w:t>Paragraph</w:t>
            </w:r>
            <w:r w:rsidRPr="00E93C8D">
              <w:rPr>
                <w:kern w:val="28"/>
                <w:sz w:val="20"/>
              </w:rPr>
              <w:t xml:space="preserve"> 6 shall not apply to any liability, which by the governing law of the Contract is unlawful to limit or exclude.</w:t>
            </w:r>
          </w:p>
        </w:tc>
        <w:tc>
          <w:tcPr>
            <w:tcW w:w="4820" w:type="dxa"/>
            <w:gridSpan w:val="2"/>
          </w:tcPr>
          <w:p w:rsidR="00975AE5" w:rsidRPr="00E93C8D" w:rsidRDefault="00975AE5" w:rsidP="003E124E">
            <w:pPr>
              <w:widowControl w:val="0"/>
              <w:spacing w:after="120"/>
              <w:outlineLvl w:val="0"/>
              <w:rPr>
                <w:kern w:val="28"/>
                <w:sz w:val="20"/>
                <w:lang w:val="ru-RU"/>
              </w:rPr>
            </w:pPr>
            <w:r w:rsidRPr="00E93C8D">
              <w:rPr>
                <w:kern w:val="28"/>
                <w:sz w:val="20"/>
                <w:lang w:val="ru-RU"/>
              </w:rPr>
              <w:t>(</w:t>
            </w:r>
            <w:r w:rsidRPr="00E93C8D">
              <w:rPr>
                <w:kern w:val="28"/>
                <w:sz w:val="20"/>
              </w:rPr>
              <w:t>g</w:t>
            </w:r>
            <w:r w:rsidRPr="00E93C8D">
              <w:rPr>
                <w:kern w:val="28"/>
                <w:sz w:val="20"/>
                <w:lang w:val="ru-RU"/>
              </w:rPr>
              <w:t xml:space="preserve">) Положения пункта 6 не применяются к любой ответственности, ограничение или исключение которой запрещено применимым правом </w:t>
            </w:r>
            <w:r w:rsidRPr="00E93C8D">
              <w:rPr>
                <w:sz w:val="20"/>
                <w:lang w:val="ru-RU" w:eastAsia="ru-RU"/>
              </w:rPr>
              <w:t>Договора</w:t>
            </w:r>
            <w:r w:rsidRPr="00E93C8D">
              <w:rPr>
                <w:kern w:val="28"/>
                <w:sz w:val="20"/>
                <w:lang w:val="ru-RU"/>
              </w:rPr>
              <w:t>.</w:t>
            </w:r>
          </w:p>
        </w:tc>
      </w:tr>
      <w:tr w:rsidR="00E93C8D" w:rsidRPr="009576BA" w:rsidTr="009576BA">
        <w:trPr>
          <w:gridAfter w:val="1"/>
          <w:wAfter w:w="392" w:type="dxa"/>
        </w:trPr>
        <w:tc>
          <w:tcPr>
            <w:tcW w:w="4820" w:type="dxa"/>
            <w:gridSpan w:val="2"/>
          </w:tcPr>
          <w:p w:rsidR="00E67BAD" w:rsidRPr="00E93C8D" w:rsidRDefault="00E67BAD" w:rsidP="00125807">
            <w:pPr>
              <w:widowControl w:val="0"/>
              <w:spacing w:after="120"/>
              <w:outlineLvl w:val="0"/>
              <w:rPr>
                <w:kern w:val="28"/>
                <w:sz w:val="20"/>
              </w:rPr>
            </w:pPr>
            <w:r w:rsidRPr="00E93C8D">
              <w:rPr>
                <w:kern w:val="28"/>
                <w:sz w:val="20"/>
              </w:rPr>
              <w:t xml:space="preserve">(h) The Client is entitled to make claims in respect of the Services provided by </w:t>
            </w:r>
            <w:r w:rsidR="00125807" w:rsidRPr="00E93C8D">
              <w:rPr>
                <w:kern w:val="28"/>
                <w:sz w:val="20"/>
              </w:rPr>
              <w:t>Deloitte</w:t>
            </w:r>
            <w:r w:rsidRPr="00E93C8D">
              <w:rPr>
                <w:kern w:val="28"/>
                <w:sz w:val="20"/>
              </w:rPr>
              <w:t xml:space="preserve"> directly to RCSL. The relations between the Client and RCLS in consideration of such claims and potential litigation are regulated by the provisions of clauses 1, 2, 6, 12 of </w:t>
            </w:r>
            <w:r w:rsidR="00125807" w:rsidRPr="00E93C8D">
              <w:rPr>
                <w:kern w:val="28"/>
                <w:sz w:val="20"/>
              </w:rPr>
              <w:t>Standard Tax</w:t>
            </w:r>
            <w:r w:rsidRPr="00E93C8D">
              <w:rPr>
                <w:kern w:val="28"/>
                <w:sz w:val="20"/>
              </w:rPr>
              <w:t xml:space="preserve"> Terms (and any other applicable provisions of the Agreement) as if RCSL was named in the text of the </w:t>
            </w:r>
            <w:r w:rsidR="00125807" w:rsidRPr="00E93C8D">
              <w:rPr>
                <w:kern w:val="28"/>
                <w:sz w:val="20"/>
              </w:rPr>
              <w:t>Standard Tax Terms</w:t>
            </w:r>
            <w:r w:rsidRPr="00E93C8D">
              <w:rPr>
                <w:kern w:val="28"/>
                <w:sz w:val="20"/>
              </w:rPr>
              <w:t xml:space="preserve"> and/or the Agreement instead of </w:t>
            </w:r>
            <w:r w:rsidR="00125807" w:rsidRPr="00E93C8D">
              <w:rPr>
                <w:kern w:val="28"/>
                <w:sz w:val="20"/>
              </w:rPr>
              <w:t>Deloitte</w:t>
            </w:r>
            <w:r w:rsidRPr="00E93C8D">
              <w:rPr>
                <w:kern w:val="28"/>
                <w:sz w:val="20"/>
              </w:rPr>
              <w:t xml:space="preserve">. The total liability of </w:t>
            </w:r>
            <w:r w:rsidR="00125807" w:rsidRPr="00E93C8D">
              <w:rPr>
                <w:kern w:val="28"/>
                <w:sz w:val="20"/>
              </w:rPr>
              <w:t>Deloitte</w:t>
            </w:r>
            <w:r w:rsidRPr="00E93C8D">
              <w:rPr>
                <w:kern w:val="28"/>
                <w:sz w:val="20"/>
              </w:rPr>
              <w:t xml:space="preserve"> and RCSL to the Client shall be limited to </w:t>
            </w:r>
            <w:r w:rsidR="00125807" w:rsidRPr="00E93C8D">
              <w:rPr>
                <w:kern w:val="28"/>
                <w:sz w:val="20"/>
              </w:rPr>
              <w:t xml:space="preserve">an aggregate amount in excess of </w:t>
            </w:r>
            <w:r w:rsidR="00125807" w:rsidRPr="00E93C8D" w:rsidDel="004734E8">
              <w:rPr>
                <w:kern w:val="28"/>
                <w:sz w:val="20"/>
              </w:rPr>
              <w:t xml:space="preserve">the fees paid </w:t>
            </w:r>
            <w:r w:rsidR="00125807" w:rsidRPr="00E93C8D">
              <w:rPr>
                <w:kern w:val="28"/>
                <w:sz w:val="20"/>
              </w:rPr>
              <w:t xml:space="preserve">under the Contract </w:t>
            </w:r>
            <w:r w:rsidR="00125807" w:rsidRPr="00E93C8D" w:rsidDel="004734E8">
              <w:rPr>
                <w:kern w:val="28"/>
                <w:sz w:val="20"/>
              </w:rPr>
              <w:t>by the Client to Deloitte</w:t>
            </w:r>
            <w:r w:rsidR="00125807" w:rsidRPr="00E93C8D">
              <w:t xml:space="preserve"> </w:t>
            </w:r>
            <w:r w:rsidR="00125807" w:rsidRPr="00E93C8D">
              <w:rPr>
                <w:kern w:val="28"/>
                <w:sz w:val="20"/>
              </w:rPr>
              <w:t>for that part of the Services giving rise to the Claim</w:t>
            </w:r>
            <w:r w:rsidRPr="00E93C8D">
              <w:rPr>
                <w:kern w:val="28"/>
                <w:sz w:val="20"/>
              </w:rPr>
              <w:t>.</w:t>
            </w:r>
          </w:p>
        </w:tc>
        <w:tc>
          <w:tcPr>
            <w:tcW w:w="4820" w:type="dxa"/>
            <w:gridSpan w:val="2"/>
          </w:tcPr>
          <w:p w:rsidR="00E67BAD" w:rsidRPr="00E93C8D" w:rsidRDefault="00E67BAD" w:rsidP="0011615F">
            <w:pPr>
              <w:widowControl w:val="0"/>
              <w:spacing w:after="120"/>
              <w:outlineLvl w:val="0"/>
              <w:rPr>
                <w:kern w:val="28"/>
                <w:sz w:val="20"/>
                <w:lang w:val="ru-RU"/>
              </w:rPr>
            </w:pPr>
            <w:r w:rsidRPr="00E93C8D">
              <w:rPr>
                <w:kern w:val="28"/>
                <w:sz w:val="20"/>
                <w:lang w:val="ru-RU"/>
              </w:rPr>
              <w:t>(</w:t>
            </w:r>
            <w:r w:rsidRPr="00E93C8D">
              <w:rPr>
                <w:kern w:val="28"/>
                <w:sz w:val="20"/>
              </w:rPr>
              <w:t>h</w:t>
            </w:r>
            <w:r w:rsidRPr="00E93C8D">
              <w:rPr>
                <w:kern w:val="28"/>
                <w:sz w:val="20"/>
                <w:lang w:val="ru-RU"/>
              </w:rPr>
              <w:t xml:space="preserve">) </w:t>
            </w:r>
            <w:r w:rsidR="0011615F" w:rsidRPr="00E93C8D">
              <w:rPr>
                <w:kern w:val="28"/>
                <w:sz w:val="20"/>
                <w:lang w:val="ru-RU"/>
              </w:rPr>
              <w:t>Клиент</w:t>
            </w:r>
            <w:r w:rsidRPr="00E93C8D">
              <w:rPr>
                <w:kern w:val="28"/>
                <w:sz w:val="20"/>
                <w:lang w:val="ru-RU"/>
              </w:rPr>
              <w:t xml:space="preserve"> вправе предъявлять претензии в отношении оказываемых Услуг непосредственно РКСЛ. При этом к отношениям между Клиентом и РКСЛ в рамках рассмотрения подобных претензий и возможных судебных разбирательств применяются положения пунктов 1, 2, 6, 12 Общих условий (а также иные применимые положения Договора), как если бы РКСЛ была названа по тексту Общих условий и/или Договора вместо </w:t>
            </w:r>
            <w:r w:rsidR="00125807" w:rsidRPr="00E93C8D">
              <w:rPr>
                <w:kern w:val="28"/>
                <w:sz w:val="20"/>
                <w:lang w:val="ru-RU"/>
              </w:rPr>
              <w:t>Делойт</w:t>
            </w:r>
            <w:r w:rsidRPr="00E93C8D">
              <w:rPr>
                <w:kern w:val="28"/>
                <w:sz w:val="20"/>
                <w:lang w:val="ru-RU"/>
              </w:rPr>
              <w:t xml:space="preserve">. При этом общая ответственность </w:t>
            </w:r>
            <w:r w:rsidR="00125807" w:rsidRPr="00E93C8D">
              <w:rPr>
                <w:kern w:val="28"/>
                <w:sz w:val="20"/>
                <w:lang w:val="ru-RU"/>
              </w:rPr>
              <w:t>Делойт</w:t>
            </w:r>
            <w:r w:rsidRPr="00E93C8D">
              <w:rPr>
                <w:kern w:val="28"/>
                <w:sz w:val="20"/>
                <w:lang w:val="ru-RU"/>
              </w:rPr>
              <w:t xml:space="preserve"> и РКСЛ перед Клиентом </w:t>
            </w:r>
            <w:r w:rsidR="00125807" w:rsidRPr="00E93C8D">
              <w:rPr>
                <w:kern w:val="28"/>
                <w:sz w:val="20"/>
                <w:lang w:val="ru-RU"/>
              </w:rPr>
              <w:t>не может превышать</w:t>
            </w:r>
            <w:r w:rsidRPr="00E93C8D">
              <w:rPr>
                <w:kern w:val="28"/>
                <w:sz w:val="20"/>
                <w:lang w:val="ru-RU"/>
              </w:rPr>
              <w:t xml:space="preserve"> сумм</w:t>
            </w:r>
            <w:r w:rsidR="00125807" w:rsidRPr="00E93C8D">
              <w:rPr>
                <w:kern w:val="28"/>
                <w:sz w:val="20"/>
                <w:lang w:val="ru-RU"/>
              </w:rPr>
              <w:t>у вознаграждения</w:t>
            </w:r>
            <w:r w:rsidRPr="00E93C8D">
              <w:rPr>
                <w:kern w:val="28"/>
                <w:sz w:val="20"/>
                <w:lang w:val="ru-RU"/>
              </w:rPr>
              <w:t xml:space="preserve">, </w:t>
            </w:r>
            <w:r w:rsidR="00125807" w:rsidRPr="00E93C8D">
              <w:rPr>
                <w:kern w:val="28"/>
                <w:sz w:val="20"/>
                <w:lang w:val="ru-RU"/>
              </w:rPr>
              <w:t>уплаченного Клиентом Делойт за ту часть Услуг, на основании которой возникло Требование</w:t>
            </w:r>
            <w:r w:rsidRPr="00E93C8D">
              <w:rPr>
                <w:kern w:val="28"/>
                <w:sz w:val="20"/>
                <w:lang w:val="ru-RU"/>
              </w:rPr>
              <w:t>.</w:t>
            </w:r>
          </w:p>
        </w:tc>
      </w:tr>
      <w:bookmarkEnd w:id="1"/>
      <w:bookmarkEnd w:id="2"/>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lang w:val="ru-RU"/>
              </w:rPr>
              <w:lastRenderedPageBreak/>
              <w:t xml:space="preserve">7. </w:t>
            </w:r>
            <w:r w:rsidRPr="00E93C8D">
              <w:rPr>
                <w:bCs/>
                <w:i w:val="0"/>
                <w:sz w:val="20"/>
              </w:rPr>
              <w:t>Limitation on Warranties</w:t>
            </w:r>
            <w:r w:rsidRPr="00E93C8D">
              <w:rPr>
                <w:i w:val="0"/>
                <w:sz w:val="20"/>
              </w:rPr>
              <w:t xml:space="preserve">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rPr>
              <w:t xml:space="preserve">7. Ограничение на предоставление </w:t>
            </w:r>
            <w:r w:rsidRPr="00E93C8D">
              <w:rPr>
                <w:bCs/>
                <w:i w:val="0"/>
                <w:sz w:val="20"/>
                <w:lang w:val="ru-RU"/>
              </w:rPr>
              <w:t>г</w:t>
            </w:r>
            <w:r w:rsidRPr="00E93C8D">
              <w:rPr>
                <w:bCs/>
                <w:i w:val="0"/>
                <w:sz w:val="20"/>
              </w:rPr>
              <w:t>арантий</w:t>
            </w:r>
          </w:p>
        </w:tc>
      </w:tr>
      <w:tr w:rsidR="00E93C8D" w:rsidRPr="009576BA" w:rsidTr="009576BA">
        <w:trPr>
          <w:gridAfter w:val="1"/>
          <w:wAfter w:w="392" w:type="dxa"/>
        </w:trPr>
        <w:tc>
          <w:tcPr>
            <w:tcW w:w="4820" w:type="dxa"/>
            <w:gridSpan w:val="2"/>
          </w:tcPr>
          <w:p w:rsidR="00975AE5" w:rsidRPr="00E93C8D" w:rsidRDefault="00975AE5" w:rsidP="00A8145E">
            <w:pPr>
              <w:pStyle w:val="1"/>
              <w:keepNext w:val="0"/>
              <w:widowControl w:val="0"/>
              <w:numPr>
                <w:ilvl w:val="0"/>
                <w:numId w:val="0"/>
              </w:numPr>
              <w:spacing w:after="120"/>
              <w:outlineLvl w:val="0"/>
              <w:rPr>
                <w:b w:val="0"/>
                <w:bCs/>
                <w:i w:val="0"/>
                <w:sz w:val="20"/>
                <w:highlight w:val="lightGray"/>
              </w:rPr>
            </w:pPr>
            <w:r w:rsidRPr="00E93C8D">
              <w:rPr>
                <w:b w:val="0"/>
                <w:i w:val="0"/>
                <w:sz w:val="20"/>
              </w:rPr>
              <w:t xml:space="preserve">This is a services contract. Deloitte warrants that it shall perform the Services in good faith and with due professional care and skill. To the fullest extent permitted by the law Deloitte disclaims all other warranties, either express or implied.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Настоящий </w:t>
            </w:r>
            <w:r w:rsidRPr="00E93C8D">
              <w:rPr>
                <w:b w:val="0"/>
                <w:i w:val="0"/>
                <w:sz w:val="20"/>
                <w:lang w:val="ru-RU" w:eastAsia="ru-RU"/>
              </w:rPr>
              <w:t>Договор</w:t>
            </w:r>
            <w:r w:rsidRPr="00E93C8D">
              <w:rPr>
                <w:b w:val="0"/>
                <w:i w:val="0"/>
                <w:sz w:val="20"/>
                <w:lang w:val="ru-RU"/>
              </w:rPr>
              <w:t xml:space="preserve"> предполагает оказание услуг.  Делойт гарантирует, что будет оказывать Услуги добросовестно и на надлежащем профессиональном уровне. Делойт отказывается от всех иных гарантий, как явных, так и подразумеваемых, в той мере, в какой это разрешено применимым законодательством.</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i w:val="0"/>
                <w:sz w:val="20"/>
              </w:rPr>
            </w:pPr>
            <w:r w:rsidRPr="00E93C8D">
              <w:rPr>
                <w:bCs/>
                <w:i w:val="0"/>
                <w:sz w:val="20"/>
                <w:lang w:val="ru-RU"/>
              </w:rPr>
              <w:t xml:space="preserve">8. </w:t>
            </w:r>
            <w:r w:rsidRPr="00E93C8D">
              <w:rPr>
                <w:bCs/>
                <w:i w:val="0"/>
                <w:sz w:val="20"/>
              </w:rPr>
              <w:t xml:space="preserve">Force Majeure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rPr>
              <w:t>8. Форс-мажор</w:t>
            </w:r>
          </w:p>
        </w:tc>
      </w:tr>
      <w:tr w:rsidR="00E93C8D" w:rsidRPr="00E94258" w:rsidTr="009576BA">
        <w:trPr>
          <w:gridAfter w:val="1"/>
          <w:wAfter w:w="392" w:type="dxa"/>
        </w:trPr>
        <w:tc>
          <w:tcPr>
            <w:tcW w:w="4820" w:type="dxa"/>
            <w:gridSpan w:val="2"/>
          </w:tcPr>
          <w:p w:rsidR="00975AE5" w:rsidRPr="00E93C8D" w:rsidRDefault="00975AE5" w:rsidP="00810D5C">
            <w:pPr>
              <w:pStyle w:val="1"/>
              <w:keepNext w:val="0"/>
              <w:widowControl w:val="0"/>
              <w:numPr>
                <w:ilvl w:val="0"/>
                <w:numId w:val="0"/>
              </w:numPr>
              <w:spacing w:after="120"/>
              <w:outlineLvl w:val="0"/>
              <w:rPr>
                <w:b w:val="0"/>
                <w:i w:val="0"/>
                <w:sz w:val="20"/>
              </w:rPr>
            </w:pPr>
            <w:r w:rsidRPr="00E93C8D">
              <w:rPr>
                <w:b w:val="0"/>
                <w:i w:val="0"/>
                <w:sz w:val="20"/>
              </w:rPr>
              <w:t xml:space="preserve">Neither </w:t>
            </w:r>
            <w:r w:rsidR="00810D5C" w:rsidRPr="00E93C8D">
              <w:rPr>
                <w:b w:val="0"/>
                <w:i w:val="0"/>
                <w:sz w:val="20"/>
              </w:rPr>
              <w:t>p</w:t>
            </w:r>
            <w:r w:rsidRPr="00E93C8D">
              <w:rPr>
                <w:b w:val="0"/>
                <w:i w:val="0"/>
                <w:sz w:val="20"/>
              </w:rPr>
              <w:t>arty shall be liable for any delays or non</w:t>
            </w:r>
            <w:r w:rsidR="00810D5C" w:rsidRPr="00E93C8D">
              <w:rPr>
                <w:b w:val="0"/>
                <w:i w:val="0"/>
                <w:sz w:val="20"/>
              </w:rPr>
              <w:t>-</w:t>
            </w:r>
            <w:r w:rsidRPr="00E93C8D">
              <w:rPr>
                <w:b w:val="0"/>
                <w:i w:val="0"/>
                <w:sz w:val="20"/>
              </w:rPr>
              <w:t>performance resulting from circumstances or causes beyond its reasonable control, including, without limitation, acts or omissions or the failure to cooperate by the other party (including, without limitation, entities or individuals under its control, or any of their respective officers, directors, employees, other personnel and agents), fire or other casualty, epidemic, strike or labo</w:t>
            </w:r>
            <w:r w:rsidR="00810D5C" w:rsidRPr="00E93C8D">
              <w:rPr>
                <w:b w:val="0"/>
                <w:i w:val="0"/>
                <w:sz w:val="20"/>
              </w:rPr>
              <w:t>u</w:t>
            </w:r>
            <w:r w:rsidRPr="00E93C8D">
              <w:rPr>
                <w:b w:val="0"/>
                <w:i w:val="0"/>
                <w:sz w:val="20"/>
              </w:rPr>
              <w:t>r dispute, war or other violence, or any law, order, or requirement of any governmental agency or authority.</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Стороны освобождаются от ответственности за несвоевременное исполнение или неисполнение обязательств, вызванное обстоятельствами непреодолимой силы, включая, в том числе, помимо прочего, действия, бездействия или отказ от сотрудничества другой стороны (включая, без ограничений, юридических и физических лиц, контролируемых такой стороной, а также их должностных лиц, директоров, прочих работников или агентов), пожары или иные несчастные случаи, стихийные бедствия, эпидемии, забастовки, трудовые конфликты, военные действия или иные беспорядки, а также законы, постановления или требования государственных органов и ведомств.</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i w:val="0"/>
                <w:sz w:val="20"/>
              </w:rPr>
            </w:pPr>
            <w:r w:rsidRPr="00E93C8D">
              <w:rPr>
                <w:bCs/>
                <w:i w:val="0"/>
                <w:sz w:val="20"/>
                <w:lang w:val="ru-RU"/>
              </w:rPr>
              <w:t xml:space="preserve">9. </w:t>
            </w:r>
            <w:r w:rsidRPr="00E93C8D">
              <w:rPr>
                <w:bCs/>
                <w:i w:val="0"/>
                <w:sz w:val="20"/>
              </w:rPr>
              <w:t xml:space="preserve">Limitation on Actions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rPr>
              <w:t>9. Ограничение срока исковой давности</w:t>
            </w:r>
          </w:p>
        </w:tc>
      </w:tr>
      <w:tr w:rsidR="00E93C8D" w:rsidRPr="00E94258" w:rsidTr="009576BA">
        <w:trPr>
          <w:gridAfter w:val="1"/>
          <w:wAfter w:w="392" w:type="dxa"/>
        </w:trPr>
        <w:tc>
          <w:tcPr>
            <w:tcW w:w="4820" w:type="dxa"/>
            <w:gridSpan w:val="2"/>
          </w:tcPr>
          <w:p w:rsidR="00975AE5" w:rsidRPr="00E93C8D" w:rsidRDefault="00975AE5" w:rsidP="00810D5C">
            <w:pPr>
              <w:pStyle w:val="1"/>
              <w:keepNext w:val="0"/>
              <w:widowControl w:val="0"/>
              <w:numPr>
                <w:ilvl w:val="0"/>
                <w:numId w:val="0"/>
              </w:numPr>
              <w:spacing w:after="120"/>
              <w:outlineLvl w:val="0"/>
              <w:rPr>
                <w:b w:val="0"/>
                <w:i w:val="0"/>
                <w:sz w:val="20"/>
              </w:rPr>
            </w:pPr>
            <w:r w:rsidRPr="00E93C8D" w:rsidDel="00AC3C0E">
              <w:rPr>
                <w:b w:val="0"/>
                <w:i w:val="0"/>
                <w:sz w:val="20"/>
              </w:rPr>
              <w:t>N</w:t>
            </w:r>
            <w:r w:rsidRPr="00E93C8D">
              <w:rPr>
                <w:b w:val="0"/>
                <w:i w:val="0"/>
                <w:sz w:val="20"/>
              </w:rPr>
              <w:t xml:space="preserve">o action, regardless of form, relating to this Contract or the Services, may be brought by either </w:t>
            </w:r>
            <w:r w:rsidR="00810D5C" w:rsidRPr="00E93C8D">
              <w:rPr>
                <w:b w:val="0"/>
                <w:i w:val="0"/>
                <w:sz w:val="20"/>
              </w:rPr>
              <w:t>p</w:t>
            </w:r>
            <w:r w:rsidRPr="00E93C8D">
              <w:rPr>
                <w:b w:val="0"/>
                <w:i w:val="0"/>
                <w:sz w:val="20"/>
              </w:rPr>
              <w:t xml:space="preserve">arty more than </w:t>
            </w:r>
            <w:r w:rsidR="00810D5C" w:rsidRPr="00E93C8D">
              <w:rPr>
                <w:b w:val="0"/>
                <w:i w:val="0"/>
                <w:sz w:val="20"/>
              </w:rPr>
              <w:t>3</w:t>
            </w:r>
            <w:r w:rsidRPr="00E93C8D">
              <w:rPr>
                <w:b w:val="0"/>
                <w:i w:val="0"/>
                <w:sz w:val="20"/>
              </w:rPr>
              <w:t xml:space="preserve"> years after the cause of action has accrued under applicable law.</w:t>
            </w:r>
          </w:p>
        </w:tc>
        <w:tc>
          <w:tcPr>
            <w:tcW w:w="4820" w:type="dxa"/>
            <w:gridSpan w:val="2"/>
          </w:tcPr>
          <w:p w:rsidR="00975AE5" w:rsidRPr="00E93C8D" w:rsidDel="00AC3C0E" w:rsidRDefault="00975AE5" w:rsidP="00810D5C">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Ни одна из </w:t>
            </w:r>
            <w:r w:rsidR="00810D5C" w:rsidRPr="00E93C8D">
              <w:rPr>
                <w:b w:val="0"/>
                <w:i w:val="0"/>
                <w:sz w:val="20"/>
              </w:rPr>
              <w:t>c</w:t>
            </w:r>
            <w:r w:rsidRPr="00E93C8D">
              <w:rPr>
                <w:b w:val="0"/>
                <w:i w:val="0"/>
                <w:sz w:val="20"/>
                <w:lang w:val="ru-RU"/>
              </w:rPr>
              <w:t xml:space="preserve">торон не вправе предъявлять какие бы то ни было иски, независимо от их формы, в отношении настоящего </w:t>
            </w:r>
            <w:r w:rsidRPr="00E93C8D">
              <w:rPr>
                <w:b w:val="0"/>
                <w:i w:val="0"/>
                <w:sz w:val="20"/>
                <w:lang w:val="ru-RU" w:eastAsia="ru-RU"/>
              </w:rPr>
              <w:t>Договора</w:t>
            </w:r>
            <w:r w:rsidRPr="00E93C8D">
              <w:rPr>
                <w:b w:val="0"/>
                <w:i w:val="0"/>
                <w:sz w:val="20"/>
                <w:lang w:val="ru-RU"/>
              </w:rPr>
              <w:t xml:space="preserve"> или Услуг по истечении 3 (трех) лет после возникновения оснований для такого иска, в той мере, как это предусмотрено применимым законодательством.</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i w:val="0"/>
                <w:sz w:val="20"/>
              </w:rPr>
            </w:pPr>
            <w:r w:rsidRPr="00E93C8D">
              <w:rPr>
                <w:bCs/>
                <w:i w:val="0"/>
                <w:sz w:val="20"/>
                <w:lang w:val="ru-RU"/>
              </w:rPr>
              <w:t xml:space="preserve">10. </w:t>
            </w:r>
            <w:r w:rsidRPr="00E93C8D">
              <w:rPr>
                <w:bCs/>
                <w:i w:val="0"/>
                <w:sz w:val="20"/>
              </w:rPr>
              <w:t xml:space="preserve">Confidentiality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lang w:val="ru-RU"/>
              </w:rPr>
            </w:pPr>
            <w:r w:rsidRPr="00E93C8D">
              <w:rPr>
                <w:bCs/>
                <w:i w:val="0"/>
                <w:sz w:val="20"/>
                <w:lang w:val="ru-RU"/>
              </w:rPr>
              <w:t>10. Конфиденциальность</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shd w:val="clear" w:color="auto" w:fill="FFFFFF"/>
              </w:rPr>
            </w:pPr>
            <w:r w:rsidRPr="00E93C8D">
              <w:rPr>
                <w:b w:val="0"/>
                <w:i w:val="0"/>
                <w:sz w:val="20"/>
                <w:shd w:val="clear" w:color="auto" w:fill="FFFFFF"/>
              </w:rPr>
              <w:t>(a) To the extent that, in connection with th</w:t>
            </w:r>
            <w:r w:rsidR="00DC221A" w:rsidRPr="00E93C8D">
              <w:rPr>
                <w:b w:val="0"/>
                <w:i w:val="0"/>
                <w:sz w:val="20"/>
                <w:shd w:val="clear" w:color="auto" w:fill="FFFFFF"/>
              </w:rPr>
              <w:t>e</w:t>
            </w:r>
            <w:r w:rsidRPr="00E93C8D">
              <w:rPr>
                <w:b w:val="0"/>
                <w:i w:val="0"/>
                <w:sz w:val="20"/>
                <w:shd w:val="clear" w:color="auto" w:fill="FFFFFF"/>
              </w:rPr>
              <w:t xml:space="preserve"> Contract, Deloitte comes into possession of any tax or other information related to the Services, trade secrets or other proprietary information relating to the Client which is either designated by the disclosing party as confidential or is by its nature clearly confidential (“Confidential Information”), Deloitte shall not disclose such Confidential Information to any third party without the Client’s consent. </w:t>
            </w:r>
          </w:p>
          <w:p w:rsidR="00975AE5" w:rsidRPr="00E93C8D" w:rsidRDefault="00975AE5" w:rsidP="003E124E">
            <w:pPr>
              <w:pStyle w:val="1"/>
              <w:keepNext w:val="0"/>
              <w:widowControl w:val="0"/>
              <w:numPr>
                <w:ilvl w:val="0"/>
                <w:numId w:val="0"/>
              </w:numPr>
              <w:spacing w:after="120"/>
              <w:outlineLvl w:val="0"/>
              <w:rPr>
                <w:b w:val="0"/>
                <w:i w:val="0"/>
                <w:sz w:val="20"/>
              </w:rPr>
            </w:pPr>
          </w:p>
        </w:tc>
        <w:tc>
          <w:tcPr>
            <w:tcW w:w="4820" w:type="dxa"/>
            <w:gridSpan w:val="2"/>
          </w:tcPr>
          <w:p w:rsidR="00975AE5" w:rsidRPr="00E93C8D" w:rsidRDefault="00975AE5" w:rsidP="00296E10">
            <w:pPr>
              <w:pStyle w:val="1"/>
              <w:keepNext w:val="0"/>
              <w:widowControl w:val="0"/>
              <w:numPr>
                <w:ilvl w:val="0"/>
                <w:numId w:val="0"/>
              </w:numPr>
              <w:spacing w:after="120"/>
              <w:outlineLvl w:val="0"/>
              <w:rPr>
                <w:b w:val="0"/>
                <w:i w:val="0"/>
                <w:sz w:val="20"/>
                <w:shd w:val="clear" w:color="auto" w:fill="FFFFFF"/>
                <w:lang w:val="ru-RU"/>
              </w:rPr>
            </w:pPr>
            <w:r w:rsidRPr="00E93C8D">
              <w:rPr>
                <w:b w:val="0"/>
                <w:i w:val="0"/>
                <w:sz w:val="20"/>
                <w:shd w:val="clear" w:color="auto" w:fill="FFFFFF"/>
                <w:lang w:val="ru-RU"/>
              </w:rPr>
              <w:t>(</w:t>
            </w:r>
            <w:r w:rsidRPr="00E93C8D">
              <w:rPr>
                <w:b w:val="0"/>
                <w:i w:val="0"/>
                <w:sz w:val="20"/>
                <w:shd w:val="clear" w:color="auto" w:fill="FFFFFF"/>
              </w:rPr>
              <w:t>a</w:t>
            </w:r>
            <w:r w:rsidRPr="00E93C8D">
              <w:rPr>
                <w:b w:val="0"/>
                <w:i w:val="0"/>
                <w:sz w:val="20"/>
                <w:shd w:val="clear" w:color="auto" w:fill="FFFFFF"/>
                <w:lang w:val="ru-RU"/>
              </w:rPr>
              <w:t xml:space="preserve">) Если в связи с </w:t>
            </w:r>
            <w:r w:rsidRPr="00E93C8D">
              <w:rPr>
                <w:b w:val="0"/>
                <w:i w:val="0"/>
                <w:sz w:val="20"/>
                <w:lang w:val="ru-RU" w:eastAsia="ru-RU"/>
              </w:rPr>
              <w:t xml:space="preserve">Договором </w:t>
            </w:r>
            <w:r w:rsidRPr="00E93C8D">
              <w:rPr>
                <w:b w:val="0"/>
                <w:i w:val="0"/>
                <w:sz w:val="20"/>
                <w:shd w:val="clear" w:color="auto" w:fill="FFFFFF"/>
                <w:lang w:val="ru-RU"/>
              </w:rPr>
              <w:t>Делойт получает доступ к данным налоговых деклараций или другой информации, относящейся к Услугам, сведениям, составляющим коммерческую тайну, или другой конфиденциальной информации о Клиент</w:t>
            </w:r>
            <w:r w:rsidR="00296E10" w:rsidRPr="00E93C8D">
              <w:rPr>
                <w:b w:val="0"/>
                <w:i w:val="0"/>
                <w:sz w:val="20"/>
                <w:shd w:val="clear" w:color="auto" w:fill="FFFFFF"/>
                <w:lang w:val="ru-RU"/>
              </w:rPr>
              <w:t>е</w:t>
            </w:r>
            <w:r w:rsidRPr="00E93C8D">
              <w:rPr>
                <w:b w:val="0"/>
                <w:i w:val="0"/>
                <w:sz w:val="20"/>
                <w:shd w:val="clear" w:color="auto" w:fill="FFFFFF"/>
                <w:lang w:val="ru-RU"/>
              </w:rPr>
              <w:t xml:space="preserve">, которая помечена раскрывающей стороной как конфиденциальная или является очевидно таковой по своему характеру ("Конфиденциальная информация"), Делойт обязуется не раскрывать такую Конфиденциальную информацию третьим лицам без разрешения Клиента. </w:t>
            </w:r>
          </w:p>
        </w:tc>
      </w:tr>
      <w:tr w:rsidR="00E93C8D" w:rsidRPr="00E94258" w:rsidTr="009576BA">
        <w:trPr>
          <w:gridAfter w:val="1"/>
          <w:wAfter w:w="392" w:type="dxa"/>
        </w:trPr>
        <w:tc>
          <w:tcPr>
            <w:tcW w:w="4820" w:type="dxa"/>
            <w:gridSpan w:val="2"/>
          </w:tcPr>
          <w:p w:rsidR="00975AE5" w:rsidRPr="00E93C8D" w:rsidRDefault="00975AE5" w:rsidP="005D038A">
            <w:pPr>
              <w:pStyle w:val="1"/>
              <w:keepNext w:val="0"/>
              <w:widowControl w:val="0"/>
              <w:numPr>
                <w:ilvl w:val="0"/>
                <w:numId w:val="0"/>
              </w:numPr>
              <w:spacing w:after="120"/>
              <w:outlineLvl w:val="0"/>
              <w:rPr>
                <w:b w:val="0"/>
                <w:i w:val="0"/>
                <w:sz w:val="20"/>
                <w:shd w:val="clear" w:color="auto" w:fill="FFFFFF"/>
              </w:rPr>
            </w:pPr>
            <w:r w:rsidRPr="00E93C8D">
              <w:rPr>
                <w:b w:val="0"/>
                <w:i w:val="0"/>
                <w:sz w:val="20"/>
                <w:shd w:val="clear" w:color="auto" w:fill="FFFFFF"/>
              </w:rPr>
              <w:t>The Client hereby consents to Deloitte disclosing such Confidential Information (i)</w:t>
            </w:r>
            <w:r w:rsidR="008F2AD4" w:rsidRPr="00E93C8D">
              <w:rPr>
                <w:b w:val="0"/>
                <w:i w:val="0"/>
                <w:sz w:val="20"/>
                <w:shd w:val="clear" w:color="auto" w:fill="FFFFFF"/>
              </w:rPr>
              <w:t xml:space="preserve"> to</w:t>
            </w:r>
            <w:r w:rsidRPr="00E93C8D">
              <w:rPr>
                <w:b w:val="0"/>
                <w:i w:val="0"/>
                <w:sz w:val="20"/>
                <w:shd w:val="clear" w:color="auto" w:fill="FFFFFF"/>
              </w:rPr>
              <w:t xml:space="preserve"> </w:t>
            </w:r>
            <w:r w:rsidR="00E94EDE" w:rsidRPr="00E93C8D">
              <w:rPr>
                <w:b w:val="0"/>
                <w:i w:val="0"/>
                <w:sz w:val="20"/>
                <w:shd w:val="clear" w:color="auto" w:fill="FFFFFF"/>
              </w:rPr>
              <w:t xml:space="preserve">contractors providing administrative, infrastructure and other support services to Deloitte as well as to </w:t>
            </w:r>
            <w:r w:rsidRPr="00E93C8D">
              <w:rPr>
                <w:b w:val="0"/>
                <w:i w:val="0"/>
                <w:sz w:val="20"/>
                <w:shd w:val="clear" w:color="auto" w:fill="FFFFFF"/>
              </w:rPr>
              <w:t xml:space="preserve">any </w:t>
            </w:r>
            <w:r w:rsidRPr="00E93C8D">
              <w:rPr>
                <w:b w:val="0"/>
                <w:i w:val="0"/>
                <w:sz w:val="20"/>
                <w:lang w:val="en-GB"/>
              </w:rPr>
              <w:t>Deloitte</w:t>
            </w:r>
            <w:r w:rsidRPr="00E93C8D">
              <w:rPr>
                <w:b w:val="0"/>
                <w:i w:val="0"/>
                <w:sz w:val="20"/>
                <w:shd w:val="clear" w:color="auto" w:fill="FFFFFF"/>
              </w:rPr>
              <w:t xml:space="preserve"> Entity (including any </w:t>
            </w:r>
            <w:r w:rsidR="00740E83" w:rsidRPr="00E93C8D">
              <w:rPr>
                <w:b w:val="0"/>
                <w:i w:val="0"/>
                <w:sz w:val="20"/>
                <w:lang w:val="en-GB"/>
              </w:rPr>
              <w:t>Subcontractors</w:t>
            </w:r>
            <w:r w:rsidRPr="00E93C8D">
              <w:rPr>
                <w:b w:val="0"/>
                <w:i w:val="0"/>
                <w:sz w:val="20"/>
                <w:shd w:val="clear" w:color="auto" w:fill="FFFFFF"/>
              </w:rPr>
              <w:t xml:space="preserve">) and their respective personnel </w:t>
            </w:r>
            <w:r w:rsidR="00E94EDE" w:rsidRPr="00E93C8D">
              <w:rPr>
                <w:b w:val="0"/>
                <w:i w:val="0"/>
                <w:sz w:val="20"/>
                <w:shd w:val="clear" w:color="auto" w:fill="FFFFFF"/>
              </w:rPr>
              <w:t xml:space="preserve">in any case, whether located within or outside of the Russian Federation, provided that such contractors and Subcontractors adhere to confidentiality obligations similar to those in this Paragraph 10, (ii) </w:t>
            </w:r>
            <w:r w:rsidRPr="00E93C8D">
              <w:rPr>
                <w:b w:val="0"/>
                <w:i w:val="0"/>
                <w:sz w:val="20"/>
                <w:shd w:val="clear" w:color="auto" w:fill="FFFFFF"/>
              </w:rPr>
              <w:t>to legal advisors, auditors, and insurers</w:t>
            </w:r>
            <w:r w:rsidR="00E94EDE" w:rsidRPr="00E93C8D">
              <w:rPr>
                <w:b w:val="0"/>
                <w:i w:val="0"/>
                <w:sz w:val="20"/>
                <w:shd w:val="clear" w:color="auto" w:fill="FFFFFF"/>
              </w:rPr>
              <w:t>, and</w:t>
            </w:r>
            <w:r w:rsidRPr="00E93C8D">
              <w:rPr>
                <w:b w:val="0"/>
                <w:i w:val="0"/>
                <w:sz w:val="20"/>
                <w:shd w:val="clear" w:color="auto" w:fill="FFFFFF"/>
              </w:rPr>
              <w:t xml:space="preserve"> </w:t>
            </w:r>
            <w:r w:rsidR="00E94EDE" w:rsidRPr="00E93C8D">
              <w:rPr>
                <w:b w:val="0"/>
                <w:i w:val="0"/>
                <w:sz w:val="20"/>
                <w:shd w:val="clear" w:color="auto" w:fill="FFFFFF"/>
              </w:rPr>
              <w:t>(iii)</w:t>
            </w:r>
            <w:r w:rsidRPr="00E93C8D">
              <w:rPr>
                <w:b w:val="0"/>
                <w:i w:val="0"/>
                <w:sz w:val="20"/>
                <w:shd w:val="clear" w:color="auto" w:fill="FFFFFF"/>
              </w:rPr>
              <w:t xml:space="preserve"> as may be required by law, regulation, judicial or administrative process, </w:t>
            </w:r>
            <w:r w:rsidRPr="00E93C8D" w:rsidDel="00D35D9B">
              <w:rPr>
                <w:b w:val="0"/>
                <w:i w:val="0"/>
                <w:sz w:val="20"/>
                <w:shd w:val="clear" w:color="auto" w:fill="FFFFFF"/>
              </w:rPr>
              <w:t xml:space="preserve">or </w:t>
            </w:r>
            <w:r w:rsidRPr="00E93C8D">
              <w:rPr>
                <w:b w:val="0"/>
                <w:i w:val="0"/>
                <w:sz w:val="20"/>
                <w:shd w:val="clear" w:color="auto" w:fill="FFFFFF"/>
              </w:rPr>
              <w:t xml:space="preserve">in accordance with applicable professional standards, </w:t>
            </w:r>
            <w:r w:rsidRPr="00E93C8D" w:rsidDel="00D35D9B">
              <w:rPr>
                <w:b w:val="0"/>
                <w:i w:val="0"/>
                <w:sz w:val="20"/>
                <w:shd w:val="clear" w:color="auto" w:fill="FFFFFF"/>
              </w:rPr>
              <w:t xml:space="preserve">or </w:t>
            </w:r>
            <w:r w:rsidRPr="00E93C8D">
              <w:rPr>
                <w:b w:val="0"/>
                <w:i w:val="0"/>
                <w:sz w:val="20"/>
                <w:shd w:val="clear" w:color="auto" w:fill="FFFFFF"/>
              </w:rPr>
              <w:t>in connection with potential or actual mediation, arbitration or litigation.</w:t>
            </w:r>
          </w:p>
        </w:tc>
        <w:tc>
          <w:tcPr>
            <w:tcW w:w="4820" w:type="dxa"/>
            <w:gridSpan w:val="2"/>
          </w:tcPr>
          <w:p w:rsidR="00975AE5" w:rsidRPr="00E93C8D" w:rsidRDefault="00975AE5" w:rsidP="002B6C50">
            <w:pPr>
              <w:pStyle w:val="1"/>
              <w:keepNext w:val="0"/>
              <w:widowControl w:val="0"/>
              <w:numPr>
                <w:ilvl w:val="0"/>
                <w:numId w:val="0"/>
              </w:numPr>
              <w:spacing w:after="120"/>
              <w:outlineLvl w:val="0"/>
              <w:rPr>
                <w:b w:val="0"/>
                <w:i w:val="0"/>
                <w:sz w:val="20"/>
                <w:shd w:val="clear" w:color="auto" w:fill="FFFFFF"/>
                <w:lang w:val="ru-RU"/>
              </w:rPr>
            </w:pPr>
            <w:r w:rsidRPr="00E93C8D">
              <w:rPr>
                <w:b w:val="0"/>
                <w:i w:val="0"/>
                <w:sz w:val="20"/>
                <w:shd w:val="clear" w:color="auto" w:fill="FFFFFF"/>
                <w:lang w:val="ru-RU"/>
              </w:rPr>
              <w:t>Настоящим Клиент разрешает Делойт раскрывать Конфиденциальную информацию: (</w:t>
            </w:r>
            <w:r w:rsidRPr="00E93C8D">
              <w:rPr>
                <w:b w:val="0"/>
                <w:i w:val="0"/>
                <w:sz w:val="20"/>
                <w:shd w:val="clear" w:color="auto" w:fill="FFFFFF"/>
              </w:rPr>
              <w:t>i</w:t>
            </w:r>
            <w:r w:rsidRPr="00E93C8D">
              <w:rPr>
                <w:b w:val="0"/>
                <w:i w:val="0"/>
                <w:sz w:val="20"/>
                <w:shd w:val="clear" w:color="auto" w:fill="FFFFFF"/>
                <w:lang w:val="ru-RU"/>
              </w:rPr>
              <w:t>)</w:t>
            </w:r>
            <w:r w:rsidR="00534782" w:rsidRPr="00E93C8D">
              <w:rPr>
                <w:b w:val="0"/>
                <w:i w:val="0"/>
                <w:sz w:val="20"/>
                <w:shd w:val="clear" w:color="auto" w:fill="FFFFFF"/>
                <w:lang w:val="ru-RU"/>
              </w:rPr>
              <w:t xml:space="preserve"> контрагентам</w:t>
            </w:r>
            <w:r w:rsidR="00474FAF" w:rsidRPr="00E93C8D">
              <w:rPr>
                <w:b w:val="0"/>
                <w:i w:val="0"/>
                <w:sz w:val="20"/>
                <w:shd w:val="clear" w:color="auto" w:fill="FFFFFF"/>
                <w:lang w:val="ru-RU"/>
              </w:rPr>
              <w:t>,</w:t>
            </w:r>
            <w:r w:rsidR="00534782" w:rsidRPr="00E93C8D">
              <w:rPr>
                <w:b w:val="0"/>
                <w:i w:val="0"/>
                <w:sz w:val="20"/>
                <w:shd w:val="clear" w:color="auto" w:fill="FFFFFF"/>
                <w:lang w:val="ru-RU"/>
              </w:rPr>
              <w:t xml:space="preserve"> предоставляющим услуги по административно-хозяйственной поддержке, поддержке инфраструктуры</w:t>
            </w:r>
            <w:r w:rsidR="002B6C50" w:rsidRPr="00E93C8D">
              <w:rPr>
                <w:b w:val="0"/>
                <w:i w:val="0"/>
                <w:sz w:val="20"/>
                <w:shd w:val="clear" w:color="auto" w:fill="FFFFFF"/>
                <w:lang w:val="ru-RU"/>
              </w:rPr>
              <w:t xml:space="preserve">, услуги по иной подобной </w:t>
            </w:r>
            <w:r w:rsidR="000C209F" w:rsidRPr="00E93C8D">
              <w:rPr>
                <w:b w:val="0"/>
                <w:i w:val="0"/>
                <w:sz w:val="20"/>
                <w:shd w:val="clear" w:color="auto" w:fill="FFFFFF"/>
                <w:lang w:val="ru-RU"/>
              </w:rPr>
              <w:t>поддержке</w:t>
            </w:r>
            <w:r w:rsidR="002B6C50" w:rsidRPr="00E93C8D">
              <w:rPr>
                <w:b w:val="0"/>
                <w:i w:val="0"/>
                <w:sz w:val="20"/>
                <w:shd w:val="clear" w:color="auto" w:fill="FFFFFF"/>
                <w:lang w:val="ru-RU"/>
              </w:rPr>
              <w:t>, а также</w:t>
            </w:r>
            <w:r w:rsidRPr="00E93C8D">
              <w:rPr>
                <w:b w:val="0"/>
                <w:i w:val="0"/>
                <w:sz w:val="20"/>
                <w:shd w:val="clear" w:color="auto" w:fill="FFFFFF"/>
                <w:lang w:val="ru-RU"/>
              </w:rPr>
              <w:t xml:space="preserve"> любым Компаниям Делойт (включая их Субподрядчиков) и их работников</w:t>
            </w:r>
            <w:r w:rsidR="002C38DB" w:rsidRPr="00E93C8D">
              <w:rPr>
                <w:b w:val="0"/>
                <w:i w:val="0"/>
                <w:sz w:val="20"/>
                <w:shd w:val="clear" w:color="auto" w:fill="FFFFFF"/>
                <w:lang w:val="ru-RU"/>
              </w:rPr>
              <w:t xml:space="preserve"> при условии соблюдения такими контрагентами и Субподрядчиками обязательств по конфиденциальности</w:t>
            </w:r>
            <w:r w:rsidR="002B6C50" w:rsidRPr="00E93C8D">
              <w:rPr>
                <w:b w:val="0"/>
                <w:i w:val="0"/>
                <w:sz w:val="20"/>
                <w:shd w:val="clear" w:color="auto" w:fill="FFFFFF"/>
                <w:lang w:val="ru-RU"/>
              </w:rPr>
              <w:t>,</w:t>
            </w:r>
            <w:r w:rsidR="002C38DB" w:rsidRPr="00E93C8D">
              <w:rPr>
                <w:b w:val="0"/>
                <w:i w:val="0"/>
                <w:sz w:val="20"/>
                <w:shd w:val="clear" w:color="auto" w:fill="FFFFFF"/>
                <w:lang w:val="ru-RU"/>
              </w:rPr>
              <w:t xml:space="preserve"> схожих с обязательствами, указанными в данном пункте 10, независимо от их </w:t>
            </w:r>
            <w:r w:rsidR="000C209F" w:rsidRPr="00E93C8D">
              <w:rPr>
                <w:b w:val="0"/>
                <w:i w:val="0"/>
                <w:sz w:val="20"/>
                <w:shd w:val="clear" w:color="auto" w:fill="FFFFFF"/>
                <w:lang w:val="ru-RU"/>
              </w:rPr>
              <w:t>местонахождения</w:t>
            </w:r>
            <w:r w:rsidR="002C38DB" w:rsidRPr="00E93C8D">
              <w:rPr>
                <w:b w:val="0"/>
                <w:i w:val="0"/>
                <w:sz w:val="20"/>
                <w:shd w:val="clear" w:color="auto" w:fill="FFFFFF"/>
                <w:lang w:val="ru-RU"/>
              </w:rPr>
              <w:t xml:space="preserve"> в России или за пределами России,</w:t>
            </w:r>
            <w:r w:rsidR="002B6C50" w:rsidRPr="00E93C8D">
              <w:rPr>
                <w:b w:val="0"/>
                <w:i w:val="0"/>
                <w:sz w:val="20"/>
                <w:shd w:val="clear" w:color="auto" w:fill="FFFFFF"/>
                <w:lang w:val="ru-RU"/>
              </w:rPr>
              <w:t xml:space="preserve"> (</w:t>
            </w:r>
            <w:r w:rsidR="002B6C50" w:rsidRPr="00E93C8D">
              <w:rPr>
                <w:b w:val="0"/>
                <w:i w:val="0"/>
                <w:sz w:val="20"/>
                <w:shd w:val="clear" w:color="auto" w:fill="FFFFFF"/>
              </w:rPr>
              <w:t>ii</w:t>
            </w:r>
            <w:r w:rsidR="002B6C50" w:rsidRPr="00E93C8D">
              <w:rPr>
                <w:b w:val="0"/>
                <w:i w:val="0"/>
                <w:sz w:val="20"/>
                <w:shd w:val="clear" w:color="auto" w:fill="FFFFFF"/>
                <w:lang w:val="ru-RU"/>
              </w:rPr>
              <w:t>)</w:t>
            </w:r>
            <w:r w:rsidR="002C38DB" w:rsidRPr="00E93C8D">
              <w:rPr>
                <w:b w:val="0"/>
                <w:i w:val="0"/>
                <w:sz w:val="20"/>
                <w:shd w:val="clear" w:color="auto" w:fill="FFFFFF"/>
                <w:lang w:val="ru-RU"/>
              </w:rPr>
              <w:t xml:space="preserve"> </w:t>
            </w:r>
            <w:r w:rsidRPr="00E93C8D">
              <w:rPr>
                <w:b w:val="0"/>
                <w:i w:val="0"/>
                <w:sz w:val="20"/>
                <w:shd w:val="clear" w:color="auto" w:fill="FFFFFF"/>
                <w:lang w:val="ru-RU"/>
              </w:rPr>
              <w:t xml:space="preserve"> юридическим консульта</w:t>
            </w:r>
            <w:r w:rsidR="002B6C50" w:rsidRPr="00E93C8D">
              <w:rPr>
                <w:b w:val="0"/>
                <w:i w:val="0"/>
                <w:sz w:val="20"/>
                <w:shd w:val="clear" w:color="auto" w:fill="FFFFFF"/>
                <w:lang w:val="ru-RU"/>
              </w:rPr>
              <w:t>нтам, аудиторам и страховщикам</w:t>
            </w:r>
            <w:r w:rsidRPr="00E93C8D">
              <w:rPr>
                <w:b w:val="0"/>
                <w:i w:val="0"/>
                <w:sz w:val="20"/>
                <w:shd w:val="clear" w:color="auto" w:fill="FFFFFF"/>
                <w:lang w:val="ru-RU"/>
              </w:rPr>
              <w:t xml:space="preserve">, а также </w:t>
            </w:r>
            <w:r w:rsidR="002B6C50" w:rsidRPr="00E93C8D">
              <w:rPr>
                <w:b w:val="0"/>
                <w:i w:val="0"/>
                <w:sz w:val="20"/>
                <w:shd w:val="clear" w:color="auto" w:fill="FFFFFF"/>
                <w:lang w:val="ru-RU"/>
              </w:rPr>
              <w:t>(</w:t>
            </w:r>
            <w:r w:rsidR="002B6C50" w:rsidRPr="00E93C8D">
              <w:rPr>
                <w:b w:val="0"/>
                <w:i w:val="0"/>
                <w:sz w:val="20"/>
                <w:shd w:val="clear" w:color="auto" w:fill="FFFFFF"/>
              </w:rPr>
              <w:t>iii</w:t>
            </w:r>
            <w:r w:rsidR="002B6C50" w:rsidRPr="00E93C8D">
              <w:rPr>
                <w:b w:val="0"/>
                <w:i w:val="0"/>
                <w:sz w:val="20"/>
                <w:shd w:val="clear" w:color="auto" w:fill="FFFFFF"/>
                <w:lang w:val="ru-RU"/>
              </w:rPr>
              <w:t xml:space="preserve">) </w:t>
            </w:r>
            <w:r w:rsidRPr="00E93C8D">
              <w:rPr>
                <w:b w:val="0"/>
                <w:i w:val="0"/>
                <w:sz w:val="20"/>
                <w:shd w:val="clear" w:color="auto" w:fill="FFFFFF"/>
                <w:lang w:val="ru-RU"/>
              </w:rPr>
              <w:t xml:space="preserve">в случаях, предусмотренных законодательством, нормативно-правовыми актами, судебными либо административными процессуальными нормами или действующими профессиональными </w:t>
            </w:r>
            <w:r w:rsidR="00D85499" w:rsidRPr="00E93C8D">
              <w:rPr>
                <w:b w:val="0"/>
                <w:i w:val="0"/>
                <w:sz w:val="20"/>
                <w:shd w:val="clear" w:color="auto" w:fill="FFFFFF"/>
                <w:lang w:val="ru-RU"/>
              </w:rPr>
              <w:t>стандартами,</w:t>
            </w:r>
            <w:r w:rsidRPr="00E93C8D">
              <w:rPr>
                <w:b w:val="0"/>
                <w:i w:val="0"/>
                <w:sz w:val="20"/>
                <w:shd w:val="clear" w:color="auto" w:fill="FFFFFF"/>
                <w:lang w:val="ru-RU"/>
              </w:rPr>
              <w:t xml:space="preserve"> </w:t>
            </w:r>
            <w:r w:rsidRPr="00E93C8D">
              <w:rPr>
                <w:b w:val="0"/>
                <w:i w:val="0"/>
                <w:sz w:val="20"/>
                <w:shd w:val="clear" w:color="auto" w:fill="FFFFFF"/>
                <w:lang w:val="ru-RU"/>
              </w:rPr>
              <w:lastRenderedPageBreak/>
              <w:t>либо в связи с возможными судебными разбирательствами или процедурой медиации.</w:t>
            </w:r>
          </w:p>
        </w:tc>
      </w:tr>
      <w:tr w:rsidR="00E93C8D" w:rsidRPr="009576BA"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shd w:val="clear" w:color="auto" w:fill="FFFFFF"/>
              </w:rPr>
            </w:pPr>
            <w:r w:rsidRPr="00E93C8D">
              <w:rPr>
                <w:b w:val="0"/>
                <w:i w:val="0"/>
                <w:sz w:val="20"/>
                <w:shd w:val="clear" w:color="auto" w:fill="FFFFFF"/>
              </w:rPr>
              <w:lastRenderedPageBreak/>
              <w:t>The obligation of confidentiality shall not apply to the extent such Confidential Information:</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shd w:val="clear" w:color="auto" w:fill="FFFFFF"/>
                <w:lang w:val="ru-RU"/>
              </w:rPr>
            </w:pPr>
            <w:r w:rsidRPr="00E93C8D">
              <w:rPr>
                <w:b w:val="0"/>
                <w:i w:val="0"/>
                <w:sz w:val="20"/>
                <w:shd w:val="clear" w:color="auto" w:fill="FFFFFF"/>
                <w:lang w:val="ru-RU"/>
              </w:rPr>
              <w:t>Обязательства сохранять конфиденциальность не применяются в той мере, в какой Конфиденциальная информация:</w:t>
            </w:r>
          </w:p>
        </w:tc>
      </w:tr>
      <w:tr w:rsidR="00E93C8D" w:rsidRPr="009576BA"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ind w:left="313"/>
              <w:outlineLvl w:val="0"/>
              <w:rPr>
                <w:b w:val="0"/>
                <w:i w:val="0"/>
                <w:sz w:val="20"/>
                <w:shd w:val="clear" w:color="auto" w:fill="FFFFFF"/>
              </w:rPr>
            </w:pPr>
            <w:r w:rsidRPr="00E93C8D">
              <w:rPr>
                <w:b w:val="0"/>
                <w:i w:val="0"/>
                <w:sz w:val="20"/>
                <w:shd w:val="clear" w:color="auto" w:fill="FFFFFF"/>
              </w:rPr>
              <w:t>(A) is or becomes publicly available (including, without limitation, any information filed with any government</w:t>
            </w:r>
            <w:r w:rsidR="00A154C7" w:rsidRPr="00E93C8D">
              <w:rPr>
                <w:b w:val="0"/>
                <w:i w:val="0"/>
                <w:sz w:val="20"/>
                <w:shd w:val="clear" w:color="auto" w:fill="FFFFFF"/>
              </w:rPr>
              <w:t>al</w:t>
            </w:r>
            <w:r w:rsidRPr="00E93C8D">
              <w:rPr>
                <w:b w:val="0"/>
                <w:i w:val="0"/>
                <w:sz w:val="20"/>
                <w:shd w:val="clear" w:color="auto" w:fill="FFFFFF"/>
              </w:rPr>
              <w:t xml:space="preserve"> agency and available to the public) other than as the result of the default of Deloitte,</w:t>
            </w:r>
          </w:p>
        </w:tc>
        <w:tc>
          <w:tcPr>
            <w:tcW w:w="4820" w:type="dxa"/>
            <w:gridSpan w:val="2"/>
          </w:tcPr>
          <w:p w:rsidR="00975AE5" w:rsidRPr="00E93C8D" w:rsidRDefault="00975AE5" w:rsidP="003E124E">
            <w:pPr>
              <w:pStyle w:val="1"/>
              <w:keepNext w:val="0"/>
              <w:widowControl w:val="0"/>
              <w:numPr>
                <w:ilvl w:val="0"/>
                <w:numId w:val="0"/>
              </w:numPr>
              <w:spacing w:after="120"/>
              <w:ind w:left="175"/>
              <w:outlineLvl w:val="0"/>
              <w:rPr>
                <w:b w:val="0"/>
                <w:i w:val="0"/>
                <w:sz w:val="20"/>
                <w:shd w:val="clear" w:color="auto" w:fill="FFFFFF"/>
                <w:lang w:val="ru-RU"/>
              </w:rPr>
            </w:pPr>
            <w:r w:rsidRPr="00E93C8D">
              <w:rPr>
                <w:b w:val="0"/>
                <w:i w:val="0"/>
                <w:sz w:val="20"/>
                <w:shd w:val="clear" w:color="auto" w:fill="FFFFFF"/>
                <w:lang w:val="ru-RU"/>
              </w:rPr>
              <w:t>(</w:t>
            </w:r>
            <w:r w:rsidRPr="00E93C8D">
              <w:rPr>
                <w:b w:val="0"/>
                <w:i w:val="0"/>
                <w:sz w:val="20"/>
                <w:shd w:val="clear" w:color="auto" w:fill="FFFFFF"/>
              </w:rPr>
              <w:t>A</w:t>
            </w:r>
            <w:r w:rsidRPr="00E93C8D">
              <w:rPr>
                <w:b w:val="0"/>
                <w:i w:val="0"/>
                <w:sz w:val="20"/>
                <w:shd w:val="clear" w:color="auto" w:fill="FFFFFF"/>
                <w:lang w:val="ru-RU"/>
              </w:rPr>
              <w:t>) является или становится общеизвестной из других источников (включая, без ограничений, любые сведения, подаваемые в государственные органы и имеющиеся в открытом доступе), а не в результате нарушения Делойт условий настоящего Соглашения,</w:t>
            </w:r>
          </w:p>
        </w:tc>
      </w:tr>
      <w:tr w:rsidR="00E93C8D" w:rsidRPr="00E93C8D" w:rsidTr="009576BA">
        <w:trPr>
          <w:gridAfter w:val="1"/>
          <w:wAfter w:w="392" w:type="dxa"/>
        </w:trPr>
        <w:tc>
          <w:tcPr>
            <w:tcW w:w="4820" w:type="dxa"/>
            <w:gridSpan w:val="2"/>
          </w:tcPr>
          <w:p w:rsidR="00975AE5" w:rsidRPr="00E93C8D" w:rsidRDefault="00975AE5" w:rsidP="00A154C7">
            <w:pPr>
              <w:pStyle w:val="1"/>
              <w:keepNext w:val="0"/>
              <w:widowControl w:val="0"/>
              <w:numPr>
                <w:ilvl w:val="0"/>
                <w:numId w:val="0"/>
              </w:numPr>
              <w:spacing w:after="120"/>
              <w:ind w:left="313"/>
              <w:outlineLvl w:val="0"/>
              <w:rPr>
                <w:b w:val="0"/>
                <w:i w:val="0"/>
                <w:sz w:val="20"/>
                <w:shd w:val="clear" w:color="auto" w:fill="FFFFFF"/>
              </w:rPr>
            </w:pPr>
            <w:r w:rsidRPr="00E93C8D">
              <w:rPr>
                <w:b w:val="0"/>
                <w:i w:val="0"/>
                <w:sz w:val="20"/>
                <w:shd w:val="clear" w:color="auto" w:fill="FFFFFF"/>
              </w:rPr>
              <w:t xml:space="preserve">(B) becomes available to any Deloitte Entity on a non-confidential basis from a source other than the Client which Deloitte reasonably believes is not prohibited from disclosing such Confidential </w:t>
            </w:r>
            <w:r w:rsidR="00A154C7" w:rsidRPr="00E93C8D">
              <w:rPr>
                <w:b w:val="0"/>
                <w:i w:val="0"/>
                <w:sz w:val="20"/>
                <w:shd w:val="clear" w:color="auto" w:fill="FFFFFF"/>
              </w:rPr>
              <w:t>I</w:t>
            </w:r>
            <w:r w:rsidRPr="00E93C8D">
              <w:rPr>
                <w:b w:val="0"/>
                <w:i w:val="0"/>
                <w:sz w:val="20"/>
                <w:shd w:val="clear" w:color="auto" w:fill="FFFFFF"/>
              </w:rPr>
              <w:t>nformation to Deloitte by an obligation of confidentiality to the Client Group,</w:t>
            </w:r>
          </w:p>
        </w:tc>
        <w:tc>
          <w:tcPr>
            <w:tcW w:w="4820" w:type="dxa"/>
            <w:gridSpan w:val="2"/>
          </w:tcPr>
          <w:p w:rsidR="00975AE5" w:rsidRPr="00E93C8D" w:rsidRDefault="00975AE5" w:rsidP="00A154C7">
            <w:pPr>
              <w:pStyle w:val="1"/>
              <w:keepNext w:val="0"/>
              <w:widowControl w:val="0"/>
              <w:numPr>
                <w:ilvl w:val="0"/>
                <w:numId w:val="0"/>
              </w:numPr>
              <w:spacing w:after="120"/>
              <w:ind w:left="175"/>
              <w:outlineLvl w:val="0"/>
              <w:rPr>
                <w:b w:val="0"/>
                <w:i w:val="0"/>
                <w:sz w:val="20"/>
                <w:shd w:val="clear" w:color="auto" w:fill="FFFFFF"/>
              </w:rPr>
            </w:pPr>
            <w:r w:rsidRPr="00E93C8D">
              <w:rPr>
                <w:b w:val="0"/>
                <w:i w:val="0"/>
                <w:sz w:val="20"/>
                <w:shd w:val="clear" w:color="auto" w:fill="FFFFFF"/>
                <w:lang w:val="ru-RU"/>
              </w:rPr>
              <w:t>(</w:t>
            </w:r>
            <w:r w:rsidRPr="00E93C8D">
              <w:rPr>
                <w:b w:val="0"/>
                <w:i w:val="0"/>
                <w:sz w:val="20"/>
                <w:shd w:val="clear" w:color="auto" w:fill="FFFFFF"/>
              </w:rPr>
              <w:t>B</w:t>
            </w:r>
            <w:r w:rsidRPr="00E93C8D">
              <w:rPr>
                <w:b w:val="0"/>
                <w:i w:val="0"/>
                <w:sz w:val="20"/>
                <w:shd w:val="clear" w:color="auto" w:fill="FFFFFF"/>
                <w:lang w:val="ru-RU"/>
              </w:rPr>
              <w:t>) становится известной любой Компании Делойт на неконфиденциальной основе из любого другого источника, отличного от Клиента, который, по обоснованному мнению Делойт, не связан обязательством перед Группой Клиента, запрещающим ему раскрывать Конфиденциальную информацию Делойт,</w:t>
            </w:r>
          </w:p>
        </w:tc>
      </w:tr>
      <w:tr w:rsidR="00E93C8D" w:rsidRPr="009576BA" w:rsidTr="009576BA">
        <w:trPr>
          <w:gridAfter w:val="1"/>
          <w:wAfter w:w="392" w:type="dxa"/>
        </w:trPr>
        <w:tc>
          <w:tcPr>
            <w:tcW w:w="4820" w:type="dxa"/>
            <w:gridSpan w:val="2"/>
          </w:tcPr>
          <w:p w:rsidR="00975AE5" w:rsidRPr="00E93C8D" w:rsidRDefault="00975AE5" w:rsidP="00A154C7">
            <w:pPr>
              <w:pStyle w:val="1"/>
              <w:keepNext w:val="0"/>
              <w:widowControl w:val="0"/>
              <w:numPr>
                <w:ilvl w:val="0"/>
                <w:numId w:val="0"/>
              </w:numPr>
              <w:spacing w:after="120"/>
              <w:ind w:left="313"/>
              <w:outlineLvl w:val="0"/>
              <w:rPr>
                <w:b w:val="0"/>
                <w:i w:val="0"/>
                <w:sz w:val="20"/>
                <w:shd w:val="clear" w:color="auto" w:fill="FFFFFF"/>
              </w:rPr>
            </w:pPr>
            <w:r w:rsidRPr="00E93C8D">
              <w:rPr>
                <w:b w:val="0"/>
                <w:i w:val="0"/>
                <w:sz w:val="20"/>
                <w:shd w:val="clear" w:color="auto" w:fill="FFFFFF"/>
              </w:rPr>
              <w:t xml:space="preserve">(C) is known by any </w:t>
            </w:r>
            <w:r w:rsidRPr="00E93C8D">
              <w:rPr>
                <w:b w:val="0"/>
                <w:i w:val="0"/>
                <w:sz w:val="20"/>
                <w:lang w:val="en-GB"/>
              </w:rPr>
              <w:t>Deloitte</w:t>
            </w:r>
            <w:r w:rsidRPr="00E93C8D">
              <w:rPr>
                <w:b w:val="0"/>
                <w:i w:val="0"/>
                <w:sz w:val="20"/>
                <w:shd w:val="clear" w:color="auto" w:fill="FFFFFF"/>
              </w:rPr>
              <w:t xml:space="preserve"> Entity prior to its receipt from the Client without any obligation of confidentiality, or</w:t>
            </w:r>
          </w:p>
        </w:tc>
        <w:tc>
          <w:tcPr>
            <w:tcW w:w="4820" w:type="dxa"/>
            <w:gridSpan w:val="2"/>
          </w:tcPr>
          <w:p w:rsidR="00975AE5" w:rsidRPr="00E93C8D" w:rsidRDefault="00975AE5" w:rsidP="00A154C7">
            <w:pPr>
              <w:pStyle w:val="1"/>
              <w:keepNext w:val="0"/>
              <w:widowControl w:val="0"/>
              <w:numPr>
                <w:ilvl w:val="0"/>
                <w:numId w:val="0"/>
              </w:numPr>
              <w:spacing w:after="120"/>
              <w:ind w:left="175"/>
              <w:outlineLvl w:val="0"/>
              <w:rPr>
                <w:b w:val="0"/>
                <w:i w:val="0"/>
                <w:sz w:val="20"/>
                <w:shd w:val="clear" w:color="auto" w:fill="FFFFFF"/>
                <w:lang w:val="ru-RU"/>
              </w:rPr>
            </w:pPr>
            <w:r w:rsidRPr="00E93C8D">
              <w:rPr>
                <w:b w:val="0"/>
                <w:i w:val="0"/>
                <w:sz w:val="20"/>
                <w:shd w:val="clear" w:color="auto" w:fill="FFFFFF"/>
                <w:lang w:val="ru-RU"/>
              </w:rPr>
              <w:t>(</w:t>
            </w:r>
            <w:r w:rsidRPr="00E93C8D">
              <w:rPr>
                <w:b w:val="0"/>
                <w:i w:val="0"/>
                <w:sz w:val="20"/>
                <w:shd w:val="clear" w:color="auto" w:fill="FFFFFF"/>
              </w:rPr>
              <w:t>C</w:t>
            </w:r>
            <w:r w:rsidRPr="00E93C8D">
              <w:rPr>
                <w:b w:val="0"/>
                <w:i w:val="0"/>
                <w:sz w:val="20"/>
                <w:shd w:val="clear" w:color="auto" w:fill="FFFFFF"/>
                <w:lang w:val="ru-RU"/>
              </w:rPr>
              <w:t>) была известна любой Компании Делойт до ее получения от Клиента без каких-либо обязательств по обеспечению конфиденциальности, или</w:t>
            </w:r>
          </w:p>
        </w:tc>
      </w:tr>
      <w:tr w:rsidR="00E93C8D" w:rsidRPr="00E94258" w:rsidTr="009576BA">
        <w:trPr>
          <w:gridAfter w:val="1"/>
          <w:wAfter w:w="392" w:type="dxa"/>
        </w:trPr>
        <w:tc>
          <w:tcPr>
            <w:tcW w:w="4820" w:type="dxa"/>
            <w:gridSpan w:val="2"/>
          </w:tcPr>
          <w:p w:rsidR="00975AE5" w:rsidRPr="00E93C8D" w:rsidRDefault="00975AE5" w:rsidP="00A154C7">
            <w:pPr>
              <w:pStyle w:val="1"/>
              <w:keepNext w:val="0"/>
              <w:widowControl w:val="0"/>
              <w:numPr>
                <w:ilvl w:val="0"/>
                <w:numId w:val="0"/>
              </w:numPr>
              <w:spacing w:after="120"/>
              <w:ind w:left="313"/>
              <w:outlineLvl w:val="0"/>
              <w:rPr>
                <w:b w:val="0"/>
                <w:i w:val="0"/>
                <w:sz w:val="20"/>
                <w:shd w:val="clear" w:color="auto" w:fill="FFFFFF"/>
              </w:rPr>
            </w:pPr>
            <w:r w:rsidRPr="00E93C8D">
              <w:rPr>
                <w:b w:val="0"/>
                <w:i w:val="0"/>
                <w:sz w:val="20"/>
                <w:shd w:val="clear" w:color="auto" w:fill="FFFFFF"/>
              </w:rPr>
              <w:t>(D) is developed by any Deloitte Entity independently of Confidential Information disclosed by the Client.</w:t>
            </w:r>
            <w:r w:rsidRPr="00E93C8D">
              <w:rPr>
                <w:b w:val="0"/>
                <w:i w:val="0"/>
                <w:sz w:val="20"/>
                <w:shd w:val="clear" w:color="auto" w:fill="FFCC99"/>
              </w:rPr>
              <w:t xml:space="preserve">  </w:t>
            </w:r>
          </w:p>
        </w:tc>
        <w:tc>
          <w:tcPr>
            <w:tcW w:w="4820" w:type="dxa"/>
            <w:gridSpan w:val="2"/>
          </w:tcPr>
          <w:p w:rsidR="00975AE5" w:rsidRPr="00E93C8D" w:rsidRDefault="00975AE5" w:rsidP="00A154C7">
            <w:pPr>
              <w:pStyle w:val="1"/>
              <w:keepNext w:val="0"/>
              <w:widowControl w:val="0"/>
              <w:numPr>
                <w:ilvl w:val="0"/>
                <w:numId w:val="0"/>
              </w:numPr>
              <w:spacing w:after="120"/>
              <w:ind w:left="175"/>
              <w:outlineLvl w:val="0"/>
              <w:rPr>
                <w:b w:val="0"/>
                <w:i w:val="0"/>
                <w:sz w:val="20"/>
                <w:shd w:val="clear" w:color="auto" w:fill="FFFFFF"/>
                <w:lang w:val="ru-RU"/>
              </w:rPr>
            </w:pPr>
            <w:r w:rsidRPr="00E93C8D">
              <w:rPr>
                <w:b w:val="0"/>
                <w:i w:val="0"/>
                <w:sz w:val="20"/>
                <w:shd w:val="clear" w:color="auto" w:fill="FFFFFF"/>
                <w:lang w:val="ru-RU"/>
              </w:rPr>
              <w:t>(</w:t>
            </w:r>
            <w:r w:rsidRPr="00E93C8D">
              <w:rPr>
                <w:b w:val="0"/>
                <w:i w:val="0"/>
                <w:sz w:val="20"/>
                <w:shd w:val="clear" w:color="auto" w:fill="FFFFFF"/>
              </w:rPr>
              <w:t>D</w:t>
            </w:r>
            <w:r w:rsidRPr="00E93C8D">
              <w:rPr>
                <w:b w:val="0"/>
                <w:i w:val="0"/>
                <w:sz w:val="20"/>
                <w:shd w:val="clear" w:color="auto" w:fill="FFFFFF"/>
                <w:lang w:val="ru-RU"/>
              </w:rPr>
              <w:t>) разработана любой Компанией Делойт самостоятельно и независимо от Конфиденциальной информации, полученной от Клиента.</w:t>
            </w:r>
          </w:p>
        </w:tc>
      </w:tr>
      <w:tr w:rsidR="00E93C8D" w:rsidRPr="009576BA" w:rsidTr="009576BA">
        <w:trPr>
          <w:gridBefore w:val="1"/>
          <w:wBefore w:w="392" w:type="dxa"/>
        </w:trPr>
        <w:tc>
          <w:tcPr>
            <w:tcW w:w="4820" w:type="dxa"/>
            <w:gridSpan w:val="2"/>
          </w:tcPr>
          <w:p w:rsidR="001E2EFE" w:rsidRPr="001E2EFE" w:rsidRDefault="00975AE5" w:rsidP="001E2EFE">
            <w:pPr>
              <w:pStyle w:val="1"/>
              <w:keepNext w:val="0"/>
              <w:widowControl w:val="0"/>
              <w:numPr>
                <w:ilvl w:val="0"/>
                <w:numId w:val="0"/>
              </w:numPr>
              <w:outlineLvl w:val="0"/>
              <w:rPr>
                <w:b w:val="0"/>
                <w:i w:val="0"/>
                <w:sz w:val="20"/>
              </w:rPr>
            </w:pPr>
            <w:r w:rsidRPr="00E93C8D">
              <w:rPr>
                <w:b w:val="0"/>
                <w:i w:val="0"/>
                <w:sz w:val="20"/>
              </w:rPr>
              <w:t>(b)</w:t>
            </w:r>
            <w:r w:rsidR="006A7EEC" w:rsidRPr="00E93C8D">
              <w:rPr>
                <w:b w:val="0"/>
                <w:i w:val="0"/>
                <w:sz w:val="20"/>
              </w:rPr>
              <w:t xml:space="preserve"> The</w:t>
            </w:r>
            <w:r w:rsidRPr="00E93C8D">
              <w:rPr>
                <w:b w:val="0"/>
                <w:i w:val="0"/>
                <w:sz w:val="20"/>
              </w:rPr>
              <w:t xml:space="preserve"> Client shall not disclose to any third </w:t>
            </w:r>
          </w:p>
          <w:p w:rsidR="001E2EFE" w:rsidRPr="001E2EFE" w:rsidRDefault="00975AE5" w:rsidP="001E2EFE">
            <w:pPr>
              <w:pStyle w:val="1"/>
              <w:keepNext w:val="0"/>
              <w:widowControl w:val="0"/>
              <w:numPr>
                <w:ilvl w:val="0"/>
                <w:numId w:val="0"/>
              </w:numPr>
              <w:outlineLvl w:val="0"/>
              <w:rPr>
                <w:b w:val="0"/>
                <w:i w:val="0"/>
                <w:sz w:val="20"/>
              </w:rPr>
            </w:pPr>
            <w:r w:rsidRPr="00E93C8D">
              <w:rPr>
                <w:b w:val="0"/>
                <w:i w:val="0"/>
                <w:sz w:val="20"/>
              </w:rPr>
              <w:t xml:space="preserve">party </w:t>
            </w:r>
            <w:r w:rsidR="009576BA" w:rsidRPr="009576BA">
              <w:rPr>
                <w:b w:val="0"/>
                <w:i w:val="0"/>
                <w:sz w:val="20"/>
              </w:rPr>
              <w:t xml:space="preserve"> </w:t>
            </w:r>
            <w:r w:rsidRPr="00E93C8D">
              <w:rPr>
                <w:b w:val="0"/>
                <w:i w:val="0"/>
                <w:sz w:val="20"/>
              </w:rPr>
              <w:t>any Advice without the express written</w:t>
            </w:r>
          </w:p>
          <w:p w:rsidR="00975AE5" w:rsidRPr="00E93C8D" w:rsidRDefault="00975AE5" w:rsidP="001E2EFE">
            <w:pPr>
              <w:pStyle w:val="1"/>
              <w:keepNext w:val="0"/>
              <w:widowControl w:val="0"/>
              <w:numPr>
                <w:ilvl w:val="0"/>
                <w:numId w:val="0"/>
              </w:numPr>
              <w:outlineLvl w:val="0"/>
              <w:rPr>
                <w:b w:val="0"/>
                <w:i w:val="0"/>
                <w:sz w:val="20"/>
              </w:rPr>
            </w:pPr>
            <w:r w:rsidRPr="00E93C8D">
              <w:rPr>
                <w:b w:val="0"/>
                <w:i w:val="0"/>
                <w:sz w:val="20"/>
              </w:rPr>
              <w:t xml:space="preserve">consent of Deloitte, except: </w:t>
            </w:r>
          </w:p>
          <w:p w:rsidR="00975AE5" w:rsidRPr="00E93C8D" w:rsidRDefault="00975AE5" w:rsidP="003E124E">
            <w:pPr>
              <w:pStyle w:val="1"/>
              <w:keepNext w:val="0"/>
              <w:widowControl w:val="0"/>
              <w:numPr>
                <w:ilvl w:val="0"/>
                <w:numId w:val="0"/>
              </w:numPr>
              <w:spacing w:after="120"/>
              <w:outlineLvl w:val="0"/>
              <w:rPr>
                <w:b w:val="0"/>
                <w:i w:val="0"/>
                <w:sz w:val="20"/>
              </w:rPr>
            </w:pPr>
          </w:p>
        </w:tc>
        <w:tc>
          <w:tcPr>
            <w:tcW w:w="4820" w:type="dxa"/>
            <w:gridSpan w:val="2"/>
          </w:tcPr>
          <w:p w:rsidR="001E2EFE" w:rsidRDefault="00975AE5" w:rsidP="001E2EFE">
            <w:pPr>
              <w:pStyle w:val="1"/>
              <w:keepNext w:val="0"/>
              <w:widowControl w:val="0"/>
              <w:numPr>
                <w:ilvl w:val="0"/>
                <w:numId w:val="0"/>
              </w:numPr>
              <w:ind w:left="-250" w:firstLine="142"/>
              <w:outlineLvl w:val="0"/>
              <w:rPr>
                <w:b w:val="0"/>
                <w:i w:val="0"/>
                <w:sz w:val="20"/>
                <w:lang w:val="ru-RU"/>
              </w:rPr>
            </w:pPr>
            <w:r w:rsidRPr="00E93C8D">
              <w:rPr>
                <w:b w:val="0"/>
                <w:i w:val="0"/>
                <w:sz w:val="20"/>
                <w:lang w:val="ru-RU"/>
              </w:rPr>
              <w:t>(</w:t>
            </w:r>
            <w:r w:rsidRPr="00E93C8D">
              <w:rPr>
                <w:b w:val="0"/>
                <w:i w:val="0"/>
                <w:sz w:val="20"/>
              </w:rPr>
              <w:t>b</w:t>
            </w:r>
            <w:r w:rsidRPr="00E93C8D">
              <w:rPr>
                <w:b w:val="0"/>
                <w:i w:val="0"/>
                <w:sz w:val="20"/>
                <w:lang w:val="ru-RU"/>
              </w:rPr>
              <w:t xml:space="preserve">) Клиент не вправе раскрывать третьим </w:t>
            </w:r>
          </w:p>
          <w:p w:rsidR="001E2EFE" w:rsidRDefault="00975AE5" w:rsidP="001E2EFE">
            <w:pPr>
              <w:pStyle w:val="1"/>
              <w:keepNext w:val="0"/>
              <w:widowControl w:val="0"/>
              <w:numPr>
                <w:ilvl w:val="0"/>
                <w:numId w:val="0"/>
              </w:numPr>
              <w:ind w:left="-108"/>
              <w:outlineLvl w:val="0"/>
              <w:rPr>
                <w:b w:val="0"/>
                <w:i w:val="0"/>
                <w:sz w:val="20"/>
                <w:lang w:val="ru-RU"/>
              </w:rPr>
            </w:pPr>
            <w:r w:rsidRPr="00E93C8D">
              <w:rPr>
                <w:b w:val="0"/>
                <w:i w:val="0"/>
                <w:sz w:val="20"/>
                <w:lang w:val="ru-RU"/>
              </w:rPr>
              <w:t xml:space="preserve">лицам содержание Рекомендаций без </w:t>
            </w:r>
          </w:p>
          <w:p w:rsidR="001E2EFE" w:rsidRDefault="00975AE5" w:rsidP="001E2EFE">
            <w:pPr>
              <w:pStyle w:val="1"/>
              <w:keepNext w:val="0"/>
              <w:widowControl w:val="0"/>
              <w:numPr>
                <w:ilvl w:val="0"/>
                <w:numId w:val="0"/>
              </w:numPr>
              <w:ind w:left="-108"/>
              <w:outlineLvl w:val="0"/>
              <w:rPr>
                <w:b w:val="0"/>
                <w:i w:val="0"/>
                <w:sz w:val="20"/>
                <w:lang w:val="ru-RU"/>
              </w:rPr>
            </w:pPr>
            <w:r w:rsidRPr="00E93C8D">
              <w:rPr>
                <w:b w:val="0"/>
                <w:i w:val="0"/>
                <w:sz w:val="20"/>
                <w:lang w:val="ru-RU"/>
              </w:rPr>
              <w:t xml:space="preserve">однозначного письменного разрешения </w:t>
            </w:r>
          </w:p>
          <w:p w:rsidR="00975AE5" w:rsidRPr="00E93C8D" w:rsidRDefault="00975AE5" w:rsidP="001E2EFE">
            <w:pPr>
              <w:pStyle w:val="1"/>
              <w:keepNext w:val="0"/>
              <w:widowControl w:val="0"/>
              <w:numPr>
                <w:ilvl w:val="0"/>
                <w:numId w:val="0"/>
              </w:numPr>
              <w:ind w:left="-108"/>
              <w:outlineLvl w:val="0"/>
              <w:rPr>
                <w:b w:val="0"/>
                <w:i w:val="0"/>
                <w:sz w:val="20"/>
                <w:lang w:val="ru-RU"/>
              </w:rPr>
            </w:pPr>
            <w:r w:rsidRPr="00E93C8D">
              <w:rPr>
                <w:b w:val="0"/>
                <w:i w:val="0"/>
                <w:sz w:val="20"/>
                <w:lang w:val="ru-RU"/>
              </w:rPr>
              <w:t xml:space="preserve">Делойт за исключением следующих случаев: </w:t>
            </w:r>
          </w:p>
        </w:tc>
      </w:tr>
      <w:tr w:rsidR="00E93C8D" w:rsidRPr="009576BA"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ind w:left="313"/>
              <w:outlineLvl w:val="0"/>
              <w:rPr>
                <w:b w:val="0"/>
                <w:i w:val="0"/>
                <w:sz w:val="20"/>
              </w:rPr>
            </w:pPr>
            <w:r w:rsidRPr="00E93C8D">
              <w:rPr>
                <w:b w:val="0"/>
                <w:i w:val="0"/>
                <w:sz w:val="20"/>
              </w:rPr>
              <w:t xml:space="preserve">(i) disclosure may be made to the extent mandatory laws, applicable regulations, rules and professional obligations prohibit limitations on disclosure; </w:t>
            </w:r>
          </w:p>
        </w:tc>
        <w:tc>
          <w:tcPr>
            <w:tcW w:w="4820" w:type="dxa"/>
            <w:gridSpan w:val="2"/>
          </w:tcPr>
          <w:p w:rsidR="00975AE5" w:rsidRPr="00E93C8D" w:rsidRDefault="00975AE5" w:rsidP="003E124E">
            <w:pPr>
              <w:pStyle w:val="1"/>
              <w:keepNext w:val="0"/>
              <w:widowControl w:val="0"/>
              <w:numPr>
                <w:ilvl w:val="0"/>
                <w:numId w:val="0"/>
              </w:numPr>
              <w:spacing w:after="120"/>
              <w:ind w:left="175"/>
              <w:outlineLvl w:val="0"/>
              <w:rPr>
                <w:b w:val="0"/>
                <w:i w:val="0"/>
                <w:sz w:val="20"/>
                <w:lang w:val="ru-RU"/>
              </w:rPr>
            </w:pPr>
            <w:r w:rsidRPr="00E93C8D">
              <w:rPr>
                <w:b w:val="0"/>
                <w:i w:val="0"/>
                <w:sz w:val="20"/>
                <w:lang w:val="ru-RU"/>
              </w:rPr>
              <w:t>(</w:t>
            </w:r>
            <w:r w:rsidRPr="00E93C8D">
              <w:rPr>
                <w:b w:val="0"/>
                <w:i w:val="0"/>
                <w:sz w:val="20"/>
              </w:rPr>
              <w:t>i</w:t>
            </w:r>
            <w:r w:rsidRPr="00E93C8D">
              <w:rPr>
                <w:b w:val="0"/>
                <w:i w:val="0"/>
                <w:sz w:val="20"/>
                <w:lang w:val="ru-RU"/>
              </w:rPr>
              <w:t xml:space="preserve">) когда ограничение на раскрытие таких сведений запрещено действующим законодательством, применимыми нормативно-правовыми актами, правилами и профессиональными обязанностями; </w:t>
            </w:r>
          </w:p>
        </w:tc>
      </w:tr>
      <w:tr w:rsidR="00E93C8D" w:rsidRPr="00E94258" w:rsidTr="009576BA">
        <w:trPr>
          <w:gridAfter w:val="1"/>
          <w:wAfter w:w="392" w:type="dxa"/>
        </w:trPr>
        <w:tc>
          <w:tcPr>
            <w:tcW w:w="4820" w:type="dxa"/>
            <w:gridSpan w:val="2"/>
          </w:tcPr>
          <w:p w:rsidR="00975AE5" w:rsidRPr="00E93C8D" w:rsidRDefault="00975AE5" w:rsidP="006A7EEC">
            <w:pPr>
              <w:pStyle w:val="1"/>
              <w:keepNext w:val="0"/>
              <w:widowControl w:val="0"/>
              <w:numPr>
                <w:ilvl w:val="0"/>
                <w:numId w:val="0"/>
              </w:numPr>
              <w:spacing w:after="120"/>
              <w:ind w:left="313"/>
              <w:outlineLvl w:val="0"/>
              <w:rPr>
                <w:b w:val="0"/>
                <w:i w:val="0"/>
                <w:sz w:val="20"/>
              </w:rPr>
            </w:pPr>
            <w:r w:rsidRPr="00E93C8D">
              <w:rPr>
                <w:b w:val="0"/>
                <w:i w:val="0"/>
                <w:sz w:val="20"/>
              </w:rPr>
              <w:t xml:space="preserve">(ii) if the Client or its affiliates have securities registered with the United States Securities and Exchange Commission and any </w:t>
            </w:r>
            <w:r w:rsidRPr="00E93C8D">
              <w:rPr>
                <w:b w:val="0"/>
                <w:i w:val="0"/>
                <w:sz w:val="20"/>
                <w:lang w:val="en-GB"/>
              </w:rPr>
              <w:t>Deloitte</w:t>
            </w:r>
            <w:r w:rsidRPr="00E93C8D">
              <w:rPr>
                <w:b w:val="0"/>
                <w:i w:val="0"/>
                <w:sz w:val="20"/>
              </w:rPr>
              <w:t xml:space="preserve"> Entity is the auditor of the Client or any of its affiliates, in which case no restrictions or limitations are placed by Deloitte on the Client’s disclosure of  the tax treatment or tax structure associated with the tax Services or transactions described in the Contract and the Client acknowledges that none of its other advisers has imposed or will impose restrictions or limitations with such tax treatment or tax structure;</w:t>
            </w:r>
          </w:p>
        </w:tc>
        <w:tc>
          <w:tcPr>
            <w:tcW w:w="4820" w:type="dxa"/>
            <w:gridSpan w:val="2"/>
          </w:tcPr>
          <w:p w:rsidR="00975AE5" w:rsidRPr="00E93C8D" w:rsidRDefault="00975AE5" w:rsidP="003E124E">
            <w:pPr>
              <w:pStyle w:val="1"/>
              <w:keepNext w:val="0"/>
              <w:widowControl w:val="0"/>
              <w:numPr>
                <w:ilvl w:val="0"/>
                <w:numId w:val="0"/>
              </w:numPr>
              <w:spacing w:after="120"/>
              <w:ind w:left="175"/>
              <w:outlineLvl w:val="0"/>
              <w:rPr>
                <w:b w:val="0"/>
                <w:i w:val="0"/>
                <w:sz w:val="20"/>
                <w:lang w:val="ru-RU"/>
              </w:rPr>
            </w:pPr>
            <w:r w:rsidRPr="00E93C8D">
              <w:rPr>
                <w:b w:val="0"/>
                <w:i w:val="0"/>
                <w:sz w:val="20"/>
                <w:lang w:val="ru-RU"/>
              </w:rPr>
              <w:t>(</w:t>
            </w:r>
            <w:r w:rsidRPr="00E93C8D">
              <w:rPr>
                <w:b w:val="0"/>
                <w:i w:val="0"/>
                <w:sz w:val="20"/>
              </w:rPr>
              <w:t>ii</w:t>
            </w:r>
            <w:r w:rsidRPr="00E93C8D">
              <w:rPr>
                <w:b w:val="0"/>
                <w:i w:val="0"/>
                <w:sz w:val="20"/>
                <w:lang w:val="ru-RU"/>
              </w:rPr>
              <w:t xml:space="preserve">) если Клиент или аффилированные с ним лица имеют ценные бумаги, зарегистрированные в Комиссии по ценным бумагам и биржам США, и любая из Компаний Делойт является аудитором Клиента или аффилированных с ним лиц – в этом случае ограничения на раскрытие налогового учета или налоговой структуры, связанной  с налоговыми Услугами или сделками, описанными в </w:t>
            </w:r>
            <w:r w:rsidRPr="00E93C8D">
              <w:rPr>
                <w:b w:val="0"/>
                <w:i w:val="0"/>
                <w:sz w:val="20"/>
                <w:lang w:val="ru-RU" w:eastAsia="ru-RU"/>
              </w:rPr>
              <w:t>Договоре</w:t>
            </w:r>
            <w:r w:rsidRPr="00E93C8D">
              <w:rPr>
                <w:b w:val="0"/>
                <w:i w:val="0"/>
                <w:sz w:val="20"/>
                <w:lang w:val="ru-RU"/>
              </w:rPr>
              <w:t>, не применяются, а Клиент подтверждает, что ни один из его других консультантов не возложил или не возложит запретов или ограничений на раскрытие такого налогового учета или налоговой структуры;</w:t>
            </w:r>
          </w:p>
        </w:tc>
      </w:tr>
      <w:tr w:rsidR="00E93C8D" w:rsidRPr="009576BA" w:rsidTr="009576BA">
        <w:trPr>
          <w:gridAfter w:val="1"/>
          <w:wAfter w:w="392" w:type="dxa"/>
        </w:trPr>
        <w:tc>
          <w:tcPr>
            <w:tcW w:w="4820" w:type="dxa"/>
            <w:gridSpan w:val="2"/>
          </w:tcPr>
          <w:p w:rsidR="00975AE5" w:rsidRPr="00E93C8D" w:rsidRDefault="00975AE5" w:rsidP="00A208FC">
            <w:pPr>
              <w:pStyle w:val="1"/>
              <w:keepNext w:val="0"/>
              <w:widowControl w:val="0"/>
              <w:numPr>
                <w:ilvl w:val="0"/>
                <w:numId w:val="0"/>
              </w:numPr>
              <w:spacing w:after="120"/>
              <w:ind w:left="313"/>
              <w:outlineLvl w:val="0"/>
              <w:rPr>
                <w:b w:val="0"/>
                <w:i w:val="0"/>
                <w:sz w:val="20"/>
              </w:rPr>
            </w:pPr>
            <w:r w:rsidRPr="00E93C8D">
              <w:rPr>
                <w:b w:val="0"/>
                <w:i w:val="0"/>
                <w:sz w:val="20"/>
              </w:rPr>
              <w:t xml:space="preserve">(iii) to the extent the United States Internal Revenue Code and applicable Internal Revenue Service guidance relating to confidential tax shelters (or comparable law or guidance from other taxing authorities in other jurisdictions) apply, in which case there are no restrictions or limitations on the disclosure of the </w:t>
            </w:r>
            <w:r w:rsidR="00105875" w:rsidRPr="00E93C8D">
              <w:rPr>
                <w:b w:val="0"/>
                <w:i w:val="0"/>
                <w:sz w:val="20"/>
              </w:rPr>
              <w:t>tax treatment or tax structure</w:t>
            </w:r>
            <w:r w:rsidRPr="00E93C8D">
              <w:rPr>
                <w:b w:val="0"/>
                <w:i w:val="0"/>
                <w:sz w:val="20"/>
              </w:rPr>
              <w:t>;</w:t>
            </w:r>
          </w:p>
        </w:tc>
        <w:tc>
          <w:tcPr>
            <w:tcW w:w="4820" w:type="dxa"/>
            <w:gridSpan w:val="2"/>
          </w:tcPr>
          <w:p w:rsidR="00975AE5" w:rsidRPr="00E93C8D" w:rsidRDefault="00975AE5" w:rsidP="00FF4991">
            <w:pPr>
              <w:pStyle w:val="1"/>
              <w:keepNext w:val="0"/>
              <w:widowControl w:val="0"/>
              <w:numPr>
                <w:ilvl w:val="0"/>
                <w:numId w:val="0"/>
              </w:numPr>
              <w:spacing w:after="120"/>
              <w:ind w:left="175"/>
              <w:outlineLvl w:val="0"/>
              <w:rPr>
                <w:b w:val="0"/>
                <w:i w:val="0"/>
                <w:sz w:val="20"/>
                <w:lang w:val="ru-RU"/>
              </w:rPr>
            </w:pPr>
            <w:r w:rsidRPr="00E93C8D">
              <w:rPr>
                <w:b w:val="0"/>
                <w:i w:val="0"/>
                <w:sz w:val="20"/>
                <w:lang w:val="ru-RU"/>
              </w:rPr>
              <w:t>(</w:t>
            </w:r>
            <w:r w:rsidRPr="00E93C8D">
              <w:rPr>
                <w:b w:val="0"/>
                <w:i w:val="0"/>
                <w:sz w:val="20"/>
              </w:rPr>
              <w:t>iii</w:t>
            </w:r>
            <w:r w:rsidRPr="00E93C8D">
              <w:rPr>
                <w:b w:val="0"/>
                <w:i w:val="0"/>
                <w:sz w:val="20"/>
                <w:lang w:val="ru-RU"/>
              </w:rPr>
              <w:t xml:space="preserve">) в части применения положений Налогового кодекса США и соответствующих инструкций Налоговой службы США в отношении конфиденциальности налоговой информации (или положений аналогичных нормативных документов других налоговых органов в иных юрисдикциях) </w:t>
            </w:r>
            <w:r w:rsidR="00FF4991" w:rsidRPr="00E93C8D">
              <w:rPr>
                <w:b w:val="0"/>
                <w:i w:val="0"/>
                <w:sz w:val="20"/>
                <w:lang w:val="ru-RU"/>
              </w:rPr>
              <w:t>в тех случаях, когда нет ограничений на раскрытие порядка взимания налогов или структуры налогообложения</w:t>
            </w:r>
            <w:r w:rsidRPr="00E93C8D">
              <w:rPr>
                <w:b w:val="0"/>
                <w:i w:val="0"/>
                <w:sz w:val="20"/>
                <w:lang w:val="ru-RU"/>
              </w:rPr>
              <w:t>;</w:t>
            </w:r>
          </w:p>
        </w:tc>
      </w:tr>
      <w:tr w:rsidR="00E93C8D" w:rsidRPr="009576BA"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ind w:left="313"/>
              <w:outlineLvl w:val="0"/>
              <w:rPr>
                <w:b w:val="0"/>
                <w:i w:val="0"/>
                <w:sz w:val="20"/>
              </w:rPr>
            </w:pPr>
            <w:r w:rsidRPr="00E93C8D">
              <w:rPr>
                <w:b w:val="0"/>
                <w:i w:val="0"/>
                <w:sz w:val="20"/>
              </w:rPr>
              <w:t xml:space="preserve">(iv) to the extent legislation or regulations of any jurisdiction provide for the reporting to the tax authorities of certain tax arrangements or transactions, there shall be no restrictions or </w:t>
            </w:r>
            <w:r w:rsidRPr="00E93C8D">
              <w:rPr>
                <w:b w:val="0"/>
                <w:i w:val="0"/>
                <w:sz w:val="20"/>
              </w:rPr>
              <w:lastRenderedPageBreak/>
              <w:t>limitations on the disclosure of any such arrangements or transactions provided as part of the Advice;</w:t>
            </w:r>
          </w:p>
        </w:tc>
        <w:tc>
          <w:tcPr>
            <w:tcW w:w="4820" w:type="dxa"/>
            <w:gridSpan w:val="2"/>
          </w:tcPr>
          <w:p w:rsidR="00975AE5" w:rsidRPr="00E93C8D" w:rsidRDefault="00975AE5" w:rsidP="003E124E">
            <w:pPr>
              <w:pStyle w:val="1"/>
              <w:keepNext w:val="0"/>
              <w:widowControl w:val="0"/>
              <w:numPr>
                <w:ilvl w:val="0"/>
                <w:numId w:val="0"/>
              </w:numPr>
              <w:spacing w:after="120"/>
              <w:ind w:left="175"/>
              <w:outlineLvl w:val="0"/>
              <w:rPr>
                <w:b w:val="0"/>
                <w:i w:val="0"/>
                <w:sz w:val="20"/>
                <w:lang w:val="ru-RU"/>
              </w:rPr>
            </w:pPr>
            <w:r w:rsidRPr="00E93C8D">
              <w:rPr>
                <w:b w:val="0"/>
                <w:i w:val="0"/>
                <w:sz w:val="20"/>
                <w:lang w:val="ru-RU"/>
              </w:rPr>
              <w:lastRenderedPageBreak/>
              <w:t>(</w:t>
            </w:r>
            <w:r w:rsidRPr="00E93C8D">
              <w:rPr>
                <w:b w:val="0"/>
                <w:i w:val="0"/>
                <w:sz w:val="20"/>
              </w:rPr>
              <w:t>iv</w:t>
            </w:r>
            <w:r w:rsidRPr="00E93C8D">
              <w:rPr>
                <w:b w:val="0"/>
                <w:i w:val="0"/>
                <w:sz w:val="20"/>
                <w:lang w:val="ru-RU"/>
              </w:rPr>
              <w:t xml:space="preserve">) в той мере, когда законодательство или нормы любой юрисдикции предусматривают обязанность отчитываться перед налоговыми органами по конкретным налоговым действиям или сделкам, </w:t>
            </w:r>
            <w:r w:rsidRPr="00E93C8D">
              <w:rPr>
                <w:b w:val="0"/>
                <w:i w:val="0"/>
                <w:sz w:val="20"/>
                <w:lang w:val="ru-RU"/>
              </w:rPr>
              <w:lastRenderedPageBreak/>
              <w:t xml:space="preserve">никакие запреты или ограничения по раскрытию каких-либо таких сделок в качестве части Рекомендаций не допускаются; </w:t>
            </w:r>
          </w:p>
        </w:tc>
      </w:tr>
      <w:tr w:rsidR="00E93C8D" w:rsidRPr="00E94258" w:rsidTr="009576BA">
        <w:trPr>
          <w:gridAfter w:val="1"/>
          <w:wAfter w:w="392" w:type="dxa"/>
        </w:trPr>
        <w:tc>
          <w:tcPr>
            <w:tcW w:w="4820" w:type="dxa"/>
            <w:gridSpan w:val="2"/>
          </w:tcPr>
          <w:p w:rsidR="00975AE5" w:rsidRPr="00E93C8D" w:rsidRDefault="00975AE5" w:rsidP="002D2545">
            <w:pPr>
              <w:pStyle w:val="1"/>
              <w:keepNext w:val="0"/>
              <w:widowControl w:val="0"/>
              <w:numPr>
                <w:ilvl w:val="0"/>
                <w:numId w:val="0"/>
              </w:numPr>
              <w:spacing w:after="120"/>
              <w:ind w:left="313"/>
              <w:outlineLvl w:val="0"/>
              <w:rPr>
                <w:b w:val="0"/>
                <w:i w:val="0"/>
                <w:sz w:val="20"/>
              </w:rPr>
            </w:pPr>
            <w:r w:rsidRPr="00E93C8D">
              <w:rPr>
                <w:b w:val="0"/>
                <w:i w:val="0"/>
                <w:sz w:val="20"/>
              </w:rPr>
              <w:lastRenderedPageBreak/>
              <w:t>(v) the Client may disclose the Advice on a need to know basis to member</w:t>
            </w:r>
            <w:r w:rsidR="002D2545" w:rsidRPr="00E93C8D">
              <w:rPr>
                <w:b w:val="0"/>
                <w:i w:val="0"/>
                <w:sz w:val="20"/>
              </w:rPr>
              <w:t>s</w:t>
            </w:r>
            <w:r w:rsidRPr="00E93C8D">
              <w:rPr>
                <w:b w:val="0"/>
                <w:i w:val="0"/>
                <w:sz w:val="20"/>
              </w:rPr>
              <w:t xml:space="preserve"> of the Client Group for information purposes only, provided that the Client ensures and the recipient undertakes to keep such Advice confidential and not to bring any claim of any kind against any Deloitte Entity in relation to the Advice or the Services;</w:t>
            </w:r>
          </w:p>
        </w:tc>
        <w:tc>
          <w:tcPr>
            <w:tcW w:w="4820" w:type="dxa"/>
            <w:gridSpan w:val="2"/>
          </w:tcPr>
          <w:p w:rsidR="00975AE5" w:rsidRPr="00E93C8D" w:rsidRDefault="00975AE5" w:rsidP="00E7166E">
            <w:pPr>
              <w:pStyle w:val="1"/>
              <w:keepNext w:val="0"/>
              <w:widowControl w:val="0"/>
              <w:numPr>
                <w:ilvl w:val="0"/>
                <w:numId w:val="0"/>
              </w:numPr>
              <w:spacing w:after="120"/>
              <w:ind w:left="175"/>
              <w:outlineLvl w:val="0"/>
              <w:rPr>
                <w:b w:val="0"/>
                <w:i w:val="0"/>
                <w:sz w:val="20"/>
                <w:lang w:val="ru-RU"/>
              </w:rPr>
            </w:pPr>
            <w:r w:rsidRPr="00E93C8D">
              <w:rPr>
                <w:b w:val="0"/>
                <w:i w:val="0"/>
                <w:sz w:val="20"/>
                <w:lang w:val="ru-RU"/>
              </w:rPr>
              <w:t>(</w:t>
            </w:r>
            <w:r w:rsidRPr="00E93C8D">
              <w:rPr>
                <w:b w:val="0"/>
                <w:i w:val="0"/>
                <w:sz w:val="20"/>
              </w:rPr>
              <w:t>v</w:t>
            </w:r>
            <w:r w:rsidRPr="00E93C8D">
              <w:rPr>
                <w:b w:val="0"/>
                <w:i w:val="0"/>
                <w:sz w:val="20"/>
                <w:lang w:val="ru-RU"/>
              </w:rPr>
              <w:t>) Клиент может раскрыть содержание Рекомендаций в случае необходимости любым</w:t>
            </w:r>
            <w:r w:rsidR="00E7166E" w:rsidRPr="00E93C8D">
              <w:rPr>
                <w:b w:val="0"/>
                <w:i w:val="0"/>
                <w:sz w:val="20"/>
                <w:lang w:val="ru-RU"/>
              </w:rPr>
              <w:t xml:space="preserve"> </w:t>
            </w:r>
            <w:r w:rsidRPr="00E93C8D">
              <w:rPr>
                <w:b w:val="0"/>
                <w:i w:val="0"/>
                <w:sz w:val="20"/>
                <w:lang w:val="ru-RU"/>
              </w:rPr>
              <w:t xml:space="preserve">членами Группы Клиента, только </w:t>
            </w:r>
            <w:r w:rsidR="00E7166E" w:rsidRPr="00E93C8D">
              <w:rPr>
                <w:b w:val="0"/>
                <w:i w:val="0"/>
                <w:sz w:val="20"/>
                <w:lang w:val="ru-RU"/>
              </w:rPr>
              <w:t>в</w:t>
            </w:r>
            <w:r w:rsidRPr="00E93C8D">
              <w:rPr>
                <w:b w:val="0"/>
                <w:i w:val="0"/>
                <w:sz w:val="20"/>
                <w:lang w:val="ru-RU"/>
              </w:rPr>
              <w:t xml:space="preserve"> целя</w:t>
            </w:r>
            <w:r w:rsidR="00E7166E" w:rsidRPr="00E93C8D">
              <w:rPr>
                <w:b w:val="0"/>
                <w:i w:val="0"/>
                <w:sz w:val="20"/>
                <w:lang w:val="ru-RU"/>
              </w:rPr>
              <w:t>х</w:t>
            </w:r>
            <w:r w:rsidRPr="00E93C8D">
              <w:rPr>
                <w:b w:val="0"/>
                <w:i w:val="0"/>
                <w:sz w:val="20"/>
                <w:lang w:val="ru-RU"/>
              </w:rPr>
              <w:t xml:space="preserve"> информирования, при условии, что Клиент гарантирует, а получатель обязуется</w:t>
            </w:r>
            <w:r w:rsidR="00E7166E" w:rsidRPr="00E93C8D">
              <w:rPr>
                <w:b w:val="0"/>
                <w:i w:val="0"/>
                <w:sz w:val="20"/>
                <w:lang w:val="ru-RU"/>
              </w:rPr>
              <w:t>,</w:t>
            </w:r>
            <w:r w:rsidRPr="00E93C8D">
              <w:rPr>
                <w:b w:val="0"/>
                <w:i w:val="0"/>
                <w:sz w:val="20"/>
                <w:lang w:val="ru-RU"/>
              </w:rPr>
              <w:t xml:space="preserve"> сохранять конфиденциальность содержания Рекомендаций и не подавать каких-либо исков любого характера против какой-либо из Компаний Делойт касательно содержания Рекомендаций или Услуг;</w:t>
            </w:r>
          </w:p>
        </w:tc>
      </w:tr>
      <w:tr w:rsidR="00E93C8D" w:rsidRPr="009576BA"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ind w:left="313"/>
              <w:outlineLvl w:val="0"/>
              <w:rPr>
                <w:b w:val="0"/>
                <w:i w:val="0"/>
                <w:sz w:val="20"/>
              </w:rPr>
            </w:pPr>
            <w:r w:rsidRPr="00E93C8D">
              <w:rPr>
                <w:b w:val="0"/>
                <w:i w:val="0"/>
                <w:sz w:val="20"/>
              </w:rPr>
              <w:t>(vi) on a need to know basis to statutory auditors of the Client Group in their capacity as such.</w:t>
            </w:r>
          </w:p>
        </w:tc>
        <w:tc>
          <w:tcPr>
            <w:tcW w:w="4820" w:type="dxa"/>
            <w:gridSpan w:val="2"/>
          </w:tcPr>
          <w:p w:rsidR="00975AE5" w:rsidRPr="00E93C8D" w:rsidRDefault="00975AE5" w:rsidP="003E124E">
            <w:pPr>
              <w:pStyle w:val="1"/>
              <w:keepNext w:val="0"/>
              <w:widowControl w:val="0"/>
              <w:numPr>
                <w:ilvl w:val="0"/>
                <w:numId w:val="0"/>
              </w:numPr>
              <w:spacing w:after="120"/>
              <w:ind w:left="175"/>
              <w:outlineLvl w:val="0"/>
              <w:rPr>
                <w:b w:val="0"/>
                <w:i w:val="0"/>
                <w:sz w:val="20"/>
                <w:lang w:val="ru-RU"/>
              </w:rPr>
            </w:pPr>
            <w:r w:rsidRPr="00E93C8D">
              <w:rPr>
                <w:b w:val="0"/>
                <w:i w:val="0"/>
                <w:sz w:val="20"/>
                <w:lang w:val="ru-RU"/>
              </w:rPr>
              <w:t>(</w:t>
            </w:r>
            <w:r w:rsidRPr="00E93C8D">
              <w:rPr>
                <w:b w:val="0"/>
                <w:i w:val="0"/>
                <w:sz w:val="20"/>
              </w:rPr>
              <w:t>vi</w:t>
            </w:r>
            <w:r w:rsidRPr="00E93C8D">
              <w:rPr>
                <w:b w:val="0"/>
                <w:i w:val="0"/>
                <w:sz w:val="20"/>
                <w:lang w:val="ru-RU"/>
              </w:rPr>
              <w:t xml:space="preserve">) по случаю необходимости аудиторам компаний Группы Клиента, осуществляющим в соответствии с применимым законодательством обязательную аудиторскую проверку компаний </w:t>
            </w:r>
            <w:r w:rsidR="000C209F" w:rsidRPr="00E93C8D">
              <w:rPr>
                <w:b w:val="0"/>
                <w:i w:val="0"/>
                <w:sz w:val="20"/>
                <w:lang w:val="ru-RU"/>
              </w:rPr>
              <w:t>Группы Клиента</w:t>
            </w:r>
            <w:r w:rsidRPr="00E93C8D">
              <w:rPr>
                <w:b w:val="0"/>
                <w:i w:val="0"/>
                <w:sz w:val="20"/>
                <w:lang w:val="ru-RU"/>
              </w:rPr>
              <w:t>, в рамках их должностных обязанностей.</w:t>
            </w:r>
          </w:p>
        </w:tc>
      </w:tr>
      <w:tr w:rsidR="00E93C8D" w:rsidRPr="00E94258" w:rsidDel="009D486A" w:rsidTr="009576BA">
        <w:trPr>
          <w:gridAfter w:val="1"/>
          <w:wAfter w:w="392" w:type="dxa"/>
        </w:trPr>
        <w:tc>
          <w:tcPr>
            <w:tcW w:w="4820" w:type="dxa"/>
            <w:gridSpan w:val="2"/>
          </w:tcPr>
          <w:p w:rsidR="00975AE5" w:rsidRPr="00E93C8D" w:rsidDel="009D486A" w:rsidRDefault="00975AE5" w:rsidP="00D5715F">
            <w:pPr>
              <w:pStyle w:val="1"/>
              <w:keepNext w:val="0"/>
              <w:widowControl w:val="0"/>
              <w:numPr>
                <w:ilvl w:val="0"/>
                <w:numId w:val="0"/>
              </w:numPr>
              <w:spacing w:after="120"/>
              <w:outlineLvl w:val="0"/>
              <w:rPr>
                <w:b w:val="0"/>
                <w:i w:val="0"/>
                <w:strike/>
                <w:sz w:val="20"/>
              </w:rPr>
            </w:pPr>
            <w:r w:rsidRPr="00E93C8D">
              <w:rPr>
                <w:b w:val="0"/>
                <w:i w:val="0"/>
                <w:sz w:val="20"/>
              </w:rPr>
              <w:t xml:space="preserve">(c) </w:t>
            </w:r>
            <w:r w:rsidR="00E7166E" w:rsidRPr="00E93C8D">
              <w:rPr>
                <w:b w:val="0"/>
                <w:i w:val="0"/>
                <w:sz w:val="20"/>
              </w:rPr>
              <w:t>T</w:t>
            </w:r>
            <w:r w:rsidRPr="00E93C8D">
              <w:rPr>
                <w:b w:val="0"/>
                <w:i w:val="0"/>
                <w:sz w:val="20"/>
              </w:rPr>
              <w:t xml:space="preserve">he Client shall use the Advice solely for the purposes specified in the Contract or Advice and, without limitation, shall not, without the prior written consent of Deloitte, use any Advice, in connection with any business decisions of any third party or for advertisement purposes.  All Services are intended only for the benefit of the Client identified in the Contract or Advice as being entitled to rely on the Advice. The mere receipt of any Advice, (or any information derived therefrom) by any other </w:t>
            </w:r>
            <w:r w:rsidR="00D5715F" w:rsidRPr="00E93C8D">
              <w:rPr>
                <w:b w:val="0"/>
                <w:i w:val="0"/>
                <w:sz w:val="20"/>
              </w:rPr>
              <w:t>persons</w:t>
            </w:r>
            <w:r w:rsidRPr="00E93C8D">
              <w:rPr>
                <w:b w:val="0"/>
                <w:i w:val="0"/>
                <w:sz w:val="20"/>
              </w:rPr>
              <w:t xml:space="preserve"> is not intended to create any duty of care, professional relationship or any present or future liability of any kind between those </w:t>
            </w:r>
            <w:r w:rsidR="00D5715F" w:rsidRPr="00E93C8D">
              <w:rPr>
                <w:b w:val="0"/>
                <w:i w:val="0"/>
                <w:sz w:val="20"/>
              </w:rPr>
              <w:t>persons</w:t>
            </w:r>
            <w:r w:rsidRPr="00E93C8D">
              <w:rPr>
                <w:b w:val="0"/>
                <w:i w:val="0"/>
                <w:sz w:val="20"/>
              </w:rPr>
              <w:t xml:space="preserve"> and Deloitte.</w:t>
            </w:r>
          </w:p>
        </w:tc>
        <w:tc>
          <w:tcPr>
            <w:tcW w:w="4820" w:type="dxa"/>
            <w:gridSpan w:val="2"/>
          </w:tcPr>
          <w:p w:rsidR="00975AE5" w:rsidRPr="00E93C8D" w:rsidRDefault="00975AE5" w:rsidP="00E7166E">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c</w:t>
            </w:r>
            <w:r w:rsidRPr="00E93C8D">
              <w:rPr>
                <w:b w:val="0"/>
                <w:i w:val="0"/>
                <w:sz w:val="20"/>
                <w:lang w:val="ru-RU"/>
              </w:rPr>
              <w:t xml:space="preserve">) Клиент обязан использовать Рекомендации исключительно в целях, оговоренных в </w:t>
            </w:r>
            <w:r w:rsidRPr="00E93C8D">
              <w:rPr>
                <w:b w:val="0"/>
                <w:i w:val="0"/>
                <w:sz w:val="20"/>
                <w:lang w:val="ru-RU" w:eastAsia="ru-RU"/>
              </w:rPr>
              <w:t>Договоре</w:t>
            </w:r>
            <w:r w:rsidRPr="00E93C8D">
              <w:rPr>
                <w:b w:val="0"/>
                <w:i w:val="0"/>
                <w:sz w:val="20"/>
                <w:lang w:val="ru-RU"/>
              </w:rPr>
              <w:t xml:space="preserve"> или в Рекомендациях и, в частности, не вправе без предварительного письменного разрешения Делойт использовать любые Рекомендации в связи с принятием деловых решений третьими сторонами или в рекламных целях. Все Услуги предназначены исключительно для Клиента, указанн</w:t>
            </w:r>
            <w:r w:rsidR="00E7166E" w:rsidRPr="00E93C8D">
              <w:rPr>
                <w:b w:val="0"/>
                <w:i w:val="0"/>
                <w:sz w:val="20"/>
                <w:lang w:val="ru-RU"/>
              </w:rPr>
              <w:t>ого</w:t>
            </w:r>
            <w:r w:rsidRPr="00E93C8D">
              <w:rPr>
                <w:b w:val="0"/>
                <w:i w:val="0"/>
                <w:sz w:val="20"/>
                <w:lang w:val="ru-RU"/>
              </w:rPr>
              <w:t xml:space="preserve"> в </w:t>
            </w:r>
            <w:r w:rsidRPr="00E93C8D">
              <w:rPr>
                <w:b w:val="0"/>
                <w:i w:val="0"/>
                <w:sz w:val="20"/>
                <w:lang w:val="ru-RU" w:eastAsia="ru-RU"/>
              </w:rPr>
              <w:t>Договоре</w:t>
            </w:r>
            <w:r w:rsidRPr="00E93C8D">
              <w:rPr>
                <w:b w:val="0"/>
                <w:i w:val="0"/>
                <w:sz w:val="20"/>
                <w:lang w:val="ru-RU"/>
              </w:rPr>
              <w:t xml:space="preserve"> или Рекомендации как лица, имеющие право руководствоваться Рекомендациями. Получение (само по себе) любыми другими лицами каких-либо Рекомендаций (или информации из таких Рекомендаций) не ведет к возникновению у Делойт каких бы то ни было обязательств, профессиональных взаимоотношений или любой ответственности перед такими лицами в настоящем или будущем. </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i w:val="0"/>
                <w:sz w:val="20"/>
              </w:rPr>
            </w:pPr>
            <w:r w:rsidRPr="00E93C8D">
              <w:rPr>
                <w:bCs/>
                <w:i w:val="0"/>
                <w:sz w:val="20"/>
                <w:lang w:val="ru-RU"/>
              </w:rPr>
              <w:t xml:space="preserve">11. </w:t>
            </w:r>
            <w:r w:rsidRPr="00E93C8D">
              <w:rPr>
                <w:bCs/>
                <w:i w:val="0"/>
                <w:sz w:val="20"/>
              </w:rPr>
              <w:t>Assignment</w:t>
            </w:r>
            <w:r w:rsidRPr="00E93C8D">
              <w:rPr>
                <w:i w:val="0"/>
                <w:sz w:val="20"/>
              </w:rPr>
              <w:t xml:space="preserve">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lang w:val="ru-RU"/>
              </w:rPr>
            </w:pPr>
            <w:r w:rsidRPr="00E93C8D">
              <w:rPr>
                <w:bCs/>
                <w:i w:val="0"/>
                <w:sz w:val="20"/>
              </w:rPr>
              <w:t xml:space="preserve">11. </w:t>
            </w:r>
            <w:r w:rsidRPr="00E93C8D">
              <w:rPr>
                <w:bCs/>
                <w:i w:val="0"/>
                <w:sz w:val="20"/>
                <w:lang w:val="ru-RU"/>
              </w:rPr>
              <w:t>Уступка</w:t>
            </w:r>
          </w:p>
        </w:tc>
      </w:tr>
      <w:tr w:rsidR="00E93C8D" w:rsidRPr="00E94258" w:rsidTr="009576BA">
        <w:trPr>
          <w:gridAfter w:val="1"/>
          <w:wAfter w:w="392" w:type="dxa"/>
        </w:trPr>
        <w:tc>
          <w:tcPr>
            <w:tcW w:w="4820" w:type="dxa"/>
            <w:gridSpan w:val="2"/>
          </w:tcPr>
          <w:p w:rsidR="00975AE5" w:rsidRPr="00E93C8D" w:rsidRDefault="00975AE5" w:rsidP="004455B4">
            <w:pPr>
              <w:pStyle w:val="1"/>
              <w:keepNext w:val="0"/>
              <w:widowControl w:val="0"/>
              <w:numPr>
                <w:ilvl w:val="0"/>
                <w:numId w:val="0"/>
              </w:numPr>
              <w:spacing w:after="120"/>
              <w:outlineLvl w:val="0"/>
              <w:rPr>
                <w:b w:val="0"/>
                <w:i w:val="0"/>
                <w:sz w:val="20"/>
              </w:rPr>
            </w:pPr>
            <w:r w:rsidRPr="00E93C8D">
              <w:rPr>
                <w:b w:val="0"/>
                <w:i w:val="0"/>
                <w:sz w:val="20"/>
              </w:rPr>
              <w:t xml:space="preserve">Neither </w:t>
            </w:r>
            <w:r w:rsidR="004455B4" w:rsidRPr="00E93C8D">
              <w:rPr>
                <w:b w:val="0"/>
                <w:i w:val="0"/>
                <w:sz w:val="20"/>
              </w:rPr>
              <w:t>p</w:t>
            </w:r>
            <w:r w:rsidRPr="00E93C8D">
              <w:rPr>
                <w:b w:val="0"/>
                <w:i w:val="0"/>
                <w:sz w:val="20"/>
              </w:rPr>
              <w:t xml:space="preserve">arty may assign or otherwise transfer this Contract without the prior express written consent of the other, except that Deloitte may assign any of its rights or obligations hereunder to any other </w:t>
            </w:r>
            <w:r w:rsidRPr="00E93C8D">
              <w:rPr>
                <w:b w:val="0"/>
                <w:i w:val="0"/>
                <w:sz w:val="20"/>
                <w:lang w:val="en-GB"/>
              </w:rPr>
              <w:t>Deloitte</w:t>
            </w:r>
            <w:r w:rsidRPr="00E93C8D">
              <w:rPr>
                <w:b w:val="0"/>
                <w:i w:val="0"/>
                <w:sz w:val="20"/>
              </w:rPr>
              <w:t xml:space="preserve"> Entity and to any successor to its business.  Neither party will directly or indirectly agree to assign or transfer to a third party any Claim against the other party arising out of this Contract.  </w:t>
            </w:r>
          </w:p>
        </w:tc>
        <w:tc>
          <w:tcPr>
            <w:tcW w:w="4820" w:type="dxa"/>
            <w:gridSpan w:val="2"/>
          </w:tcPr>
          <w:p w:rsidR="00975AE5" w:rsidRPr="00E93C8D" w:rsidRDefault="00975AE5" w:rsidP="004455B4">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Ни одна из </w:t>
            </w:r>
            <w:r w:rsidR="004455B4" w:rsidRPr="00E93C8D">
              <w:rPr>
                <w:b w:val="0"/>
                <w:i w:val="0"/>
                <w:sz w:val="20"/>
                <w:lang w:val="ru-RU"/>
              </w:rPr>
              <w:t>с</w:t>
            </w:r>
            <w:r w:rsidRPr="00E93C8D">
              <w:rPr>
                <w:b w:val="0"/>
                <w:i w:val="0"/>
                <w:sz w:val="20"/>
                <w:lang w:val="ru-RU"/>
              </w:rPr>
              <w:t xml:space="preserve">торон не вправе уступать или иным образом передавать настоящий </w:t>
            </w:r>
            <w:r w:rsidRPr="00E93C8D">
              <w:rPr>
                <w:b w:val="0"/>
                <w:i w:val="0"/>
                <w:sz w:val="20"/>
                <w:lang w:val="ru-RU" w:eastAsia="ru-RU"/>
              </w:rPr>
              <w:t>Договор</w:t>
            </w:r>
            <w:r w:rsidRPr="00E93C8D">
              <w:rPr>
                <w:b w:val="0"/>
                <w:i w:val="0"/>
                <w:sz w:val="20"/>
                <w:lang w:val="ru-RU"/>
              </w:rPr>
              <w:t xml:space="preserve"> без предварительного письменного согласия другой Стороны, за исключением передачи Делойт своих прав или обязанностей по </w:t>
            </w:r>
            <w:r w:rsidRPr="00E93C8D">
              <w:rPr>
                <w:b w:val="0"/>
                <w:i w:val="0"/>
                <w:sz w:val="20"/>
                <w:lang w:val="ru-RU" w:eastAsia="ru-RU"/>
              </w:rPr>
              <w:t>Договору</w:t>
            </w:r>
            <w:r w:rsidRPr="00E93C8D">
              <w:rPr>
                <w:b w:val="0"/>
                <w:i w:val="0"/>
                <w:sz w:val="20"/>
                <w:lang w:val="ru-RU"/>
              </w:rPr>
              <w:t xml:space="preserve"> любой Компании Делойт или своему правопреемнику. Ни одна из сторон не вправе прямо или косвенно соглашаться на уступку или передачу третьим сторонам каких бы то ни было Требований против другой стороны, вытекающих из настоящего Соглашения.</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lang w:val="ru-RU"/>
              </w:rPr>
              <w:t xml:space="preserve">12. </w:t>
            </w:r>
            <w:r w:rsidRPr="00E93C8D">
              <w:rPr>
                <w:bCs/>
                <w:i w:val="0"/>
                <w:sz w:val="20"/>
              </w:rPr>
              <w:t>Indemnification</w:t>
            </w:r>
            <w:r w:rsidRPr="00E93C8D">
              <w:rPr>
                <w:i w:val="0"/>
                <w:sz w:val="20"/>
              </w:rPr>
              <w:t xml:space="preserve">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rPr>
              <w:t>12. Возмещение ущерба</w:t>
            </w:r>
          </w:p>
        </w:tc>
      </w:tr>
      <w:tr w:rsidR="00E93C8D" w:rsidRPr="00E94258" w:rsidTr="009576BA">
        <w:trPr>
          <w:gridAfter w:val="1"/>
          <w:wAfter w:w="392" w:type="dxa"/>
        </w:trPr>
        <w:tc>
          <w:tcPr>
            <w:tcW w:w="4820" w:type="dxa"/>
            <w:gridSpan w:val="2"/>
          </w:tcPr>
          <w:p w:rsidR="00975AE5" w:rsidRPr="00E93C8D" w:rsidRDefault="00975AE5" w:rsidP="00B5721D">
            <w:pPr>
              <w:pStyle w:val="1"/>
              <w:keepNext w:val="0"/>
              <w:widowControl w:val="0"/>
              <w:numPr>
                <w:ilvl w:val="0"/>
                <w:numId w:val="0"/>
              </w:numPr>
              <w:spacing w:after="120"/>
              <w:outlineLvl w:val="0"/>
              <w:rPr>
                <w:b w:val="0"/>
                <w:bCs/>
                <w:i w:val="0"/>
                <w:sz w:val="20"/>
              </w:rPr>
            </w:pPr>
            <w:r w:rsidRPr="00E93C8D">
              <w:rPr>
                <w:b w:val="0"/>
                <w:i w:val="0"/>
                <w:sz w:val="20"/>
              </w:rPr>
              <w:t>The Client shall indemnify and hold harmless Deloitte, and any other Deloitte Entity from all third party Claims except to the extent finally determined to have resulted primarily from</w:t>
            </w:r>
            <w:r w:rsidR="00B5721D" w:rsidRPr="00E93C8D">
              <w:rPr>
                <w:b w:val="0"/>
                <w:i w:val="0"/>
                <w:sz w:val="20"/>
              </w:rPr>
              <w:t xml:space="preserve"> the</w:t>
            </w:r>
            <w:r w:rsidRPr="00E93C8D">
              <w:rPr>
                <w:b w:val="0"/>
                <w:i w:val="0"/>
                <w:sz w:val="20"/>
              </w:rPr>
              <w:t xml:space="preserve"> intentional misconduct of Deloitte, or any other Deloitte Entity. In circumstances where all or any portion of the provisions of this </w:t>
            </w:r>
            <w:r w:rsidR="00B5721D" w:rsidRPr="00E93C8D">
              <w:rPr>
                <w:b w:val="0"/>
                <w:i w:val="0"/>
                <w:sz w:val="20"/>
              </w:rPr>
              <w:t>P</w:t>
            </w:r>
            <w:r w:rsidRPr="00E93C8D">
              <w:rPr>
                <w:b w:val="0"/>
                <w:i w:val="0"/>
                <w:sz w:val="20"/>
              </w:rPr>
              <w:t>aragraph are finally determined to be unavailable, the aggregate liability of Deloitte, and all other Deloitte Entities (including their respective personnel) for any Claim shall not exceed an amount which is proportional to the relative fault that their conduct bears to all other conduct giving rise to such Claim.</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Клиент гарантирует Делойт, любым другим Компаниям Делойт защиту от всех Требований третьих лиц и возмещение убытков, за исключением случаев, когда окончательно будет установлено, что такие требования являются результатом умышленных противоправных действий Делойт или других Компаний Делойт. В случае, если положения настоящего пункта (полностью или частично) будут признаны судом не имеющими юридической силы, совокупная ответственность Делойт и всех других Компании Делойт (включая работников) по любым Требованиям не может превышать сумму, пропорциональную доле их виновных действий в </w:t>
            </w:r>
            <w:r w:rsidRPr="00E93C8D">
              <w:rPr>
                <w:b w:val="0"/>
                <w:i w:val="0"/>
                <w:sz w:val="20"/>
                <w:lang w:val="ru-RU"/>
              </w:rPr>
              <w:lastRenderedPageBreak/>
              <w:t>прочих виновных действиях, ставших причиной возникновения соответствующих Требований.</w:t>
            </w:r>
          </w:p>
        </w:tc>
      </w:tr>
      <w:tr w:rsidR="00E93C8D" w:rsidRPr="00E93C8D" w:rsidTr="009576BA">
        <w:trPr>
          <w:gridAfter w:val="1"/>
          <w:wAfter w:w="392" w:type="dxa"/>
        </w:trPr>
        <w:tc>
          <w:tcPr>
            <w:tcW w:w="4820" w:type="dxa"/>
            <w:gridSpan w:val="2"/>
          </w:tcPr>
          <w:p w:rsidR="00975AE5" w:rsidRPr="00E93C8D" w:rsidRDefault="00975AE5" w:rsidP="00A208FC">
            <w:pPr>
              <w:pStyle w:val="1"/>
              <w:keepNext w:val="0"/>
              <w:widowControl w:val="0"/>
              <w:numPr>
                <w:ilvl w:val="0"/>
                <w:numId w:val="0"/>
              </w:numPr>
              <w:spacing w:after="120"/>
              <w:outlineLvl w:val="0"/>
              <w:rPr>
                <w:i w:val="0"/>
                <w:sz w:val="20"/>
              </w:rPr>
            </w:pPr>
            <w:r w:rsidRPr="00E93C8D">
              <w:rPr>
                <w:bCs/>
                <w:i w:val="0"/>
                <w:sz w:val="20"/>
                <w:lang w:val="ru-RU"/>
              </w:rPr>
              <w:lastRenderedPageBreak/>
              <w:t xml:space="preserve">13. </w:t>
            </w:r>
            <w:r w:rsidRPr="00E93C8D">
              <w:rPr>
                <w:bCs/>
                <w:i w:val="0"/>
                <w:sz w:val="20"/>
              </w:rPr>
              <w:t>Electronic Communications</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rPr>
              <w:t>13. Электронные сообщения</w:t>
            </w:r>
          </w:p>
        </w:tc>
      </w:tr>
      <w:tr w:rsidR="00E93C8D" w:rsidRPr="009576BA" w:rsidTr="009576BA">
        <w:trPr>
          <w:gridAfter w:val="1"/>
          <w:wAfter w:w="392" w:type="dxa"/>
        </w:trPr>
        <w:tc>
          <w:tcPr>
            <w:tcW w:w="4820" w:type="dxa"/>
            <w:gridSpan w:val="2"/>
          </w:tcPr>
          <w:p w:rsidR="00975AE5" w:rsidRPr="00E93C8D" w:rsidRDefault="00975AE5" w:rsidP="00657294">
            <w:pPr>
              <w:pStyle w:val="1"/>
              <w:keepNext w:val="0"/>
              <w:widowControl w:val="0"/>
              <w:numPr>
                <w:ilvl w:val="0"/>
                <w:numId w:val="0"/>
              </w:numPr>
              <w:spacing w:after="120"/>
              <w:outlineLvl w:val="0"/>
              <w:rPr>
                <w:b w:val="0"/>
                <w:i w:val="0"/>
                <w:sz w:val="20"/>
              </w:rPr>
            </w:pPr>
            <w:r w:rsidRPr="00E93C8D">
              <w:rPr>
                <w:b w:val="0"/>
                <w:i w:val="0"/>
                <w:sz w:val="20"/>
              </w:rPr>
              <w:t xml:space="preserve">(a) </w:t>
            </w:r>
            <w:r w:rsidRPr="00E93C8D">
              <w:rPr>
                <w:b w:val="0"/>
                <w:i w:val="0"/>
                <w:sz w:val="20"/>
                <w:shd w:val="clear" w:color="auto" w:fill="FFFFFF"/>
              </w:rPr>
              <w:t>Except as instructed otherwise in writing, Deloitte Entities and the Client Group are authori</w:t>
            </w:r>
            <w:r w:rsidR="00A940E6" w:rsidRPr="00E93C8D">
              <w:rPr>
                <w:b w:val="0"/>
                <w:i w:val="0"/>
                <w:sz w:val="20"/>
                <w:shd w:val="clear" w:color="auto" w:fill="FFFFFF"/>
              </w:rPr>
              <w:t>s</w:t>
            </w:r>
            <w:r w:rsidRPr="00E93C8D">
              <w:rPr>
                <w:b w:val="0"/>
                <w:i w:val="0"/>
                <w:sz w:val="20"/>
                <w:shd w:val="clear" w:color="auto" w:fill="FFFFFF"/>
              </w:rPr>
              <w:t>ed to</w:t>
            </w:r>
            <w:r w:rsidR="00A940E6" w:rsidRPr="00E93C8D">
              <w:rPr>
                <w:b w:val="0"/>
                <w:i w:val="0"/>
                <w:sz w:val="20"/>
                <w:shd w:val="clear" w:color="auto" w:fill="FFFFFF"/>
              </w:rPr>
              <w:t xml:space="preserve"> use</w:t>
            </w:r>
            <w:r w:rsidRPr="00E93C8D">
              <w:rPr>
                <w:b w:val="0"/>
                <w:i w:val="0"/>
                <w:sz w:val="20"/>
                <w:shd w:val="clear" w:color="auto" w:fill="FFFFFF"/>
              </w:rPr>
              <w:t xml:space="preserve"> properly addressed fax, email (including emails exchanged via </w:t>
            </w:r>
            <w:r w:rsidR="00657294" w:rsidRPr="00E93C8D">
              <w:rPr>
                <w:b w:val="0"/>
                <w:i w:val="0"/>
                <w:sz w:val="20"/>
                <w:shd w:val="clear" w:color="auto" w:fill="FFFFFF"/>
              </w:rPr>
              <w:t>i</w:t>
            </w:r>
            <w:r w:rsidRPr="00E93C8D">
              <w:rPr>
                <w:b w:val="0"/>
                <w:i w:val="0"/>
                <w:sz w:val="20"/>
                <w:shd w:val="clear" w:color="auto" w:fill="FFFFFF"/>
              </w:rPr>
              <w:t xml:space="preserve">nternet media) and voicemail communication for both sensitive and non-sensitive documents and other communications concerning </w:t>
            </w:r>
            <w:r w:rsidR="00657294" w:rsidRPr="00E93C8D">
              <w:rPr>
                <w:b w:val="0"/>
                <w:i w:val="0"/>
                <w:sz w:val="20"/>
                <w:shd w:val="clear" w:color="auto" w:fill="FFFFFF"/>
              </w:rPr>
              <w:t>the</w:t>
            </w:r>
            <w:r w:rsidRPr="00E93C8D">
              <w:rPr>
                <w:b w:val="0"/>
                <w:i w:val="0"/>
                <w:sz w:val="20"/>
                <w:shd w:val="clear" w:color="auto" w:fill="FFFFFF"/>
              </w:rPr>
              <w:t xml:space="preserve"> Contract, as well as other means of communication used or accepted by the other. Deloitte Entities may also communicate electronically with tax and other authorities.</w:t>
            </w:r>
          </w:p>
        </w:tc>
        <w:tc>
          <w:tcPr>
            <w:tcW w:w="4820" w:type="dxa"/>
            <w:gridSpan w:val="2"/>
          </w:tcPr>
          <w:p w:rsidR="00975AE5" w:rsidRPr="00E93C8D" w:rsidRDefault="00975AE5" w:rsidP="00A80579">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a</w:t>
            </w:r>
            <w:r w:rsidRPr="00E93C8D">
              <w:rPr>
                <w:b w:val="0"/>
                <w:i w:val="0"/>
                <w:sz w:val="20"/>
                <w:lang w:val="ru-RU"/>
              </w:rPr>
              <w:t xml:space="preserve">) За исключением случаев, когда в письменном виде будет оговорено иное, Компании Делойт и Группа Клиента признают возможным использование при отправке конфиденциальной и неконфиденциальной информации и прочих сообщений, предусмотренных </w:t>
            </w:r>
            <w:r w:rsidRPr="00E93C8D">
              <w:rPr>
                <w:b w:val="0"/>
                <w:i w:val="0"/>
                <w:sz w:val="20"/>
                <w:lang w:val="ru-RU" w:eastAsia="ru-RU"/>
              </w:rPr>
              <w:t>Договором</w:t>
            </w:r>
            <w:r w:rsidRPr="00E93C8D">
              <w:rPr>
                <w:b w:val="0"/>
                <w:i w:val="0"/>
                <w:sz w:val="20"/>
                <w:lang w:val="ru-RU"/>
              </w:rPr>
              <w:t>, факса, электронной почты (включая электронную почту с использованием Интернета), голосовой почты в адрес соответствующих лиц, а также использование других видов связи, применяемых другой стороной или приемлемых для нее. Компании Делойт вправе также обмениваться информацией в электронной форме с налоговыми и иными государственными органами.</w:t>
            </w:r>
          </w:p>
        </w:tc>
      </w:tr>
      <w:tr w:rsidR="00E93C8D" w:rsidRPr="00E94258" w:rsidTr="009576BA">
        <w:trPr>
          <w:gridAfter w:val="1"/>
          <w:wAfter w:w="392" w:type="dxa"/>
        </w:trPr>
        <w:tc>
          <w:tcPr>
            <w:tcW w:w="4820" w:type="dxa"/>
            <w:gridSpan w:val="2"/>
          </w:tcPr>
          <w:p w:rsidR="00975AE5" w:rsidRPr="00E93C8D" w:rsidRDefault="00975AE5" w:rsidP="0018797E">
            <w:pPr>
              <w:pStyle w:val="1"/>
              <w:keepNext w:val="0"/>
              <w:widowControl w:val="0"/>
              <w:numPr>
                <w:ilvl w:val="0"/>
                <w:numId w:val="0"/>
              </w:numPr>
              <w:spacing w:after="120"/>
              <w:outlineLvl w:val="0"/>
              <w:rPr>
                <w:b w:val="0"/>
                <w:i w:val="0"/>
                <w:sz w:val="20"/>
              </w:rPr>
            </w:pPr>
            <w:r w:rsidRPr="00E93C8D">
              <w:rPr>
                <w:b w:val="0"/>
                <w:i w:val="0"/>
                <w:sz w:val="20"/>
              </w:rPr>
              <w:t xml:space="preserve">(b) </w:t>
            </w:r>
            <w:r w:rsidRPr="00E93C8D" w:rsidDel="00D35D9B">
              <w:rPr>
                <w:b w:val="0"/>
                <w:i w:val="0"/>
                <w:sz w:val="20"/>
              </w:rPr>
              <w:t>It is recogni</w:t>
            </w:r>
            <w:r w:rsidR="0018797E" w:rsidRPr="00E93C8D">
              <w:rPr>
                <w:b w:val="0"/>
                <w:i w:val="0"/>
                <w:sz w:val="20"/>
              </w:rPr>
              <w:t>s</w:t>
            </w:r>
            <w:r w:rsidRPr="00E93C8D" w:rsidDel="00D35D9B">
              <w:rPr>
                <w:b w:val="0"/>
                <w:i w:val="0"/>
                <w:sz w:val="20"/>
              </w:rPr>
              <w:t>ed that the internet is inherently insecure and that data can become corrupted, communications are not always delivered promptly (or at all)</w:t>
            </w:r>
            <w:r w:rsidRPr="00E93C8D">
              <w:rPr>
                <w:b w:val="0"/>
                <w:i w:val="0"/>
                <w:sz w:val="20"/>
              </w:rPr>
              <w:t>,</w:t>
            </w:r>
            <w:r w:rsidRPr="00E93C8D" w:rsidDel="00D35D9B">
              <w:rPr>
                <w:b w:val="0"/>
                <w:i w:val="0"/>
                <w:sz w:val="20"/>
              </w:rPr>
              <w:t xml:space="preserve"> and that other methods of communication may be appropriate.  Electronic communications are also prone to contamination by viruses.  </w:t>
            </w:r>
            <w:r w:rsidRPr="00E93C8D">
              <w:rPr>
                <w:b w:val="0"/>
                <w:i w:val="0"/>
                <w:sz w:val="20"/>
              </w:rPr>
              <w:t xml:space="preserve">Each </w:t>
            </w:r>
            <w:r w:rsidR="0018797E" w:rsidRPr="00E93C8D">
              <w:rPr>
                <w:b w:val="0"/>
                <w:i w:val="0"/>
                <w:sz w:val="20"/>
              </w:rPr>
              <w:t>p</w:t>
            </w:r>
            <w:r w:rsidRPr="00E93C8D">
              <w:rPr>
                <w:b w:val="0"/>
                <w:i w:val="0"/>
                <w:sz w:val="20"/>
              </w:rPr>
              <w:t>arty will be responsible for protecting its own systems and interests and, to the fullest extent permitted by law, will not be responsible to the other on any basis (contract, tort</w:t>
            </w:r>
            <w:r w:rsidR="0018797E" w:rsidRPr="00E93C8D">
              <w:rPr>
                <w:b w:val="0"/>
                <w:i w:val="0"/>
                <w:sz w:val="20"/>
              </w:rPr>
              <w:t>,</w:t>
            </w:r>
            <w:r w:rsidR="0018797E" w:rsidRPr="00E93C8D">
              <w:rPr>
                <w:sz w:val="20"/>
              </w:rPr>
              <w:t xml:space="preserve"> </w:t>
            </w:r>
            <w:r w:rsidR="0018797E" w:rsidRPr="00E93C8D">
              <w:rPr>
                <w:b w:val="0"/>
                <w:i w:val="0"/>
                <w:sz w:val="20"/>
              </w:rPr>
              <w:t>including without limitation negligence,</w:t>
            </w:r>
            <w:r w:rsidRPr="00E93C8D">
              <w:rPr>
                <w:b w:val="0"/>
                <w:i w:val="0"/>
                <w:sz w:val="20"/>
              </w:rPr>
              <w:t xml:space="preserve"> or otherwise) for any loss, damage or omission in any way arising from the use of the </w:t>
            </w:r>
            <w:r w:rsidR="0018797E" w:rsidRPr="00E93C8D">
              <w:rPr>
                <w:b w:val="0"/>
                <w:i w:val="0"/>
                <w:sz w:val="20"/>
              </w:rPr>
              <w:t>i</w:t>
            </w:r>
            <w:r w:rsidRPr="00E93C8D">
              <w:rPr>
                <w:b w:val="0"/>
                <w:i w:val="0"/>
                <w:sz w:val="20"/>
              </w:rPr>
              <w:t>nternet or from access by any Deloitte Entity personnel to networks, applications, electronic data or other systems of the Client.</w:t>
            </w:r>
          </w:p>
        </w:tc>
        <w:tc>
          <w:tcPr>
            <w:tcW w:w="4820" w:type="dxa"/>
            <w:gridSpan w:val="2"/>
          </w:tcPr>
          <w:p w:rsidR="00975AE5" w:rsidRPr="00E93C8D" w:rsidRDefault="00975AE5" w:rsidP="00EA2D08">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b</w:t>
            </w:r>
            <w:r w:rsidRPr="00E93C8D">
              <w:rPr>
                <w:b w:val="0"/>
                <w:i w:val="0"/>
                <w:sz w:val="20"/>
                <w:lang w:val="ru-RU"/>
              </w:rPr>
              <w:t xml:space="preserve">) Стороны понимают, что </w:t>
            </w:r>
            <w:r w:rsidR="0018797E" w:rsidRPr="00E93C8D">
              <w:rPr>
                <w:b w:val="0"/>
                <w:i w:val="0"/>
                <w:sz w:val="20"/>
                <w:lang w:val="ru-RU"/>
              </w:rPr>
              <w:t>и</w:t>
            </w:r>
            <w:r w:rsidRPr="00E93C8D">
              <w:rPr>
                <w:b w:val="0"/>
                <w:i w:val="0"/>
                <w:sz w:val="20"/>
                <w:lang w:val="ru-RU"/>
              </w:rPr>
              <w:t xml:space="preserve">нтернет не обладает достаточной степенью надежности электронные сообщения могут быть искажены, не всегда оперативно доставляться (или могут быть не доставлены вообще) и что другие способы коммуникации могут быть более надежными. Помимо этого, существует вероятность наличия вирусов в Интернете. Каждая Сторона несет ответственность за защиту своих систем и интересов; ни одна из </w:t>
            </w:r>
            <w:r w:rsidR="00EA2D08" w:rsidRPr="00E93C8D">
              <w:rPr>
                <w:b w:val="0"/>
                <w:i w:val="0"/>
                <w:sz w:val="20"/>
                <w:lang w:val="ru-RU"/>
              </w:rPr>
              <w:t>с</w:t>
            </w:r>
            <w:r w:rsidRPr="00E93C8D">
              <w:rPr>
                <w:b w:val="0"/>
                <w:i w:val="0"/>
                <w:sz w:val="20"/>
                <w:lang w:val="ru-RU"/>
              </w:rPr>
              <w:t xml:space="preserve">торон не несет ответственность перед другой </w:t>
            </w:r>
            <w:r w:rsidR="00EA2D08" w:rsidRPr="00E93C8D">
              <w:rPr>
                <w:b w:val="0"/>
                <w:i w:val="0"/>
                <w:sz w:val="20"/>
                <w:lang w:val="ru-RU"/>
              </w:rPr>
              <w:t>с</w:t>
            </w:r>
            <w:r w:rsidRPr="00E93C8D">
              <w:rPr>
                <w:b w:val="0"/>
                <w:i w:val="0"/>
                <w:sz w:val="20"/>
                <w:lang w:val="ru-RU"/>
              </w:rPr>
              <w:t>тороной вне зависимости от основания ответственности (договор, правонарушение</w:t>
            </w:r>
            <w:r w:rsidR="0018797E" w:rsidRPr="00E93C8D">
              <w:rPr>
                <w:b w:val="0"/>
                <w:i w:val="0"/>
                <w:sz w:val="20"/>
                <w:lang w:val="ru-RU"/>
              </w:rPr>
              <w:t>, включая без ограничений неосторожность,</w:t>
            </w:r>
            <w:r w:rsidRPr="00E93C8D">
              <w:rPr>
                <w:b w:val="0"/>
                <w:i w:val="0"/>
                <w:sz w:val="20"/>
                <w:lang w:val="ru-RU"/>
              </w:rPr>
              <w:t xml:space="preserve"> или иное) за понесенные убытки, причиненный ущерб или упущения, возникшие в результате передачи Результатов в электронном формате, использования электронной почты или </w:t>
            </w:r>
            <w:r w:rsidR="0018797E" w:rsidRPr="00E93C8D">
              <w:rPr>
                <w:b w:val="0"/>
                <w:i w:val="0"/>
                <w:sz w:val="20"/>
                <w:lang w:val="ru-RU"/>
              </w:rPr>
              <w:t>и</w:t>
            </w:r>
            <w:r w:rsidRPr="00E93C8D">
              <w:rPr>
                <w:b w:val="0"/>
                <w:i w:val="0"/>
                <w:sz w:val="20"/>
                <w:lang w:val="ru-RU"/>
              </w:rPr>
              <w:t>нтернета в качестве средства коммуникации или от использования работниками Делойт информационных сетей Клиента.</w:t>
            </w:r>
          </w:p>
        </w:tc>
      </w:tr>
      <w:tr w:rsidR="00E93C8D" w:rsidRPr="00E93C8D" w:rsidTr="009576BA">
        <w:trPr>
          <w:gridAfter w:val="1"/>
          <w:wAfter w:w="392" w:type="dxa"/>
        </w:trPr>
        <w:tc>
          <w:tcPr>
            <w:tcW w:w="4820" w:type="dxa"/>
            <w:gridSpan w:val="2"/>
          </w:tcPr>
          <w:p w:rsidR="00975AE5" w:rsidRPr="00E93C8D" w:rsidRDefault="00975AE5" w:rsidP="00A208FC">
            <w:pPr>
              <w:pStyle w:val="1"/>
              <w:keepNext w:val="0"/>
              <w:widowControl w:val="0"/>
              <w:numPr>
                <w:ilvl w:val="0"/>
                <w:numId w:val="0"/>
              </w:numPr>
              <w:spacing w:after="120"/>
              <w:outlineLvl w:val="0"/>
              <w:rPr>
                <w:i w:val="0"/>
                <w:sz w:val="20"/>
              </w:rPr>
            </w:pPr>
            <w:r w:rsidRPr="00E93C8D">
              <w:rPr>
                <w:bCs/>
                <w:i w:val="0"/>
                <w:sz w:val="20"/>
                <w:lang w:val="ru-RU"/>
              </w:rPr>
              <w:t xml:space="preserve">14. </w:t>
            </w:r>
            <w:r w:rsidRPr="00E93C8D">
              <w:rPr>
                <w:bCs/>
                <w:i w:val="0"/>
                <w:sz w:val="20"/>
              </w:rPr>
              <w:t>Other Clients</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rPr>
              <w:t>14. Иные Клиенты</w:t>
            </w:r>
          </w:p>
        </w:tc>
      </w:tr>
      <w:tr w:rsidR="00E93C8D" w:rsidRPr="009576BA" w:rsidTr="009576BA">
        <w:trPr>
          <w:gridAfter w:val="1"/>
          <w:wAfter w:w="392" w:type="dxa"/>
        </w:trPr>
        <w:tc>
          <w:tcPr>
            <w:tcW w:w="4820" w:type="dxa"/>
            <w:gridSpan w:val="2"/>
          </w:tcPr>
          <w:p w:rsidR="00975AE5" w:rsidRPr="00E93C8D" w:rsidRDefault="00975AE5" w:rsidP="00F738F1">
            <w:pPr>
              <w:pStyle w:val="1"/>
              <w:keepNext w:val="0"/>
              <w:widowControl w:val="0"/>
              <w:numPr>
                <w:ilvl w:val="0"/>
                <w:numId w:val="0"/>
              </w:numPr>
              <w:spacing w:after="120"/>
              <w:outlineLvl w:val="0"/>
              <w:rPr>
                <w:b w:val="0"/>
                <w:i w:val="0"/>
                <w:sz w:val="20"/>
              </w:rPr>
            </w:pPr>
            <w:r w:rsidRPr="00E93C8D">
              <w:rPr>
                <w:b w:val="0"/>
                <w:i w:val="0"/>
                <w:sz w:val="20"/>
              </w:rPr>
              <w:t xml:space="preserve">Nothing in this Contract will prevent or restrict any Deloitte Entity, including Deloitte, from providing services to other clients (including services which are the same or similar to the Services) or using or sharing for any purpose any knowledge, experience or skills used in, gained or arising from performing the Services subject to the obligations of confidentiality set out in </w:t>
            </w:r>
            <w:r w:rsidR="00F738F1" w:rsidRPr="00E93C8D">
              <w:rPr>
                <w:b w:val="0"/>
                <w:i w:val="0"/>
                <w:sz w:val="20"/>
              </w:rPr>
              <w:t>Paragraph</w:t>
            </w:r>
            <w:r w:rsidRPr="00E93C8D">
              <w:rPr>
                <w:b w:val="0"/>
                <w:i w:val="0"/>
                <w:sz w:val="20"/>
              </w:rPr>
              <w:t xml:space="preserve"> </w:t>
            </w:r>
            <w:r w:rsidR="00F738F1" w:rsidRPr="00E93C8D">
              <w:rPr>
                <w:b w:val="0"/>
                <w:i w:val="0"/>
                <w:sz w:val="20"/>
              </w:rPr>
              <w:t>10</w:t>
            </w:r>
            <w:r w:rsidRPr="00E93C8D">
              <w:rPr>
                <w:b w:val="0"/>
                <w:i w:val="0"/>
                <w:sz w:val="20"/>
              </w:rPr>
              <w:t xml:space="preserve"> even if those other clients’ interests are in competition with the Client Group. Also, to the extent that Deloitte possesses information obtained under an obligation of confidentiality to another client or other third party, Deloitte is not obliged to disclose it to </w:t>
            </w:r>
            <w:r w:rsidR="00F738F1" w:rsidRPr="00E93C8D">
              <w:rPr>
                <w:b w:val="0"/>
                <w:i w:val="0"/>
                <w:sz w:val="20"/>
              </w:rPr>
              <w:t>the Client</w:t>
            </w:r>
            <w:r w:rsidRPr="00E93C8D">
              <w:rPr>
                <w:b w:val="0"/>
                <w:i w:val="0"/>
                <w:sz w:val="20"/>
              </w:rPr>
              <w:t>, or use it for the benefit of the Client, however relevant it may be to the Services.</w:t>
            </w:r>
          </w:p>
        </w:tc>
        <w:tc>
          <w:tcPr>
            <w:tcW w:w="4820" w:type="dxa"/>
            <w:gridSpan w:val="2"/>
          </w:tcPr>
          <w:p w:rsidR="00975AE5" w:rsidRPr="00E93C8D" w:rsidRDefault="00975AE5" w:rsidP="00110751">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Ничто в настоящем </w:t>
            </w:r>
            <w:r w:rsidRPr="00E93C8D">
              <w:rPr>
                <w:b w:val="0"/>
                <w:i w:val="0"/>
                <w:sz w:val="20"/>
                <w:lang w:val="ru-RU" w:eastAsia="ru-RU"/>
              </w:rPr>
              <w:t>Договоре</w:t>
            </w:r>
            <w:r w:rsidRPr="00E93C8D">
              <w:rPr>
                <w:b w:val="0"/>
                <w:i w:val="0"/>
                <w:sz w:val="20"/>
                <w:lang w:val="ru-RU"/>
              </w:rPr>
              <w:t xml:space="preserve"> не предотвращает и не ограничивает возможности любой «Компании Делойт», включая Делойт, по оказанию услуг иным клиентам (включая услуги, идентичные или аналогичные Результатам) или использованию или передаче для любых целей любых знаний, опыта и навыков, используемых, приобретаемых или возникающих в ходе оказания Услуг, при условии соблюдения обязательств по сохранению конфиденциальности, установленных пунктом </w:t>
            </w:r>
            <w:r w:rsidR="00F738F1" w:rsidRPr="00E93C8D">
              <w:rPr>
                <w:b w:val="0"/>
                <w:i w:val="0"/>
                <w:sz w:val="20"/>
                <w:lang w:val="ru-RU"/>
              </w:rPr>
              <w:t>10</w:t>
            </w:r>
            <w:r w:rsidRPr="00E93C8D">
              <w:rPr>
                <w:b w:val="0"/>
                <w:i w:val="0"/>
                <w:sz w:val="20"/>
                <w:lang w:val="ru-RU"/>
              </w:rPr>
              <w:t>, даже если интересы таких иных клиентов конкурируют с интересами Группы Клиента. Равным образом, в той степени, в которой «Делойт» располагает информацией, полученной при условии соблюдения обязательств по сохранению конфиденциальности перед иным клиентом или иной третьей стороной, «Делойт» не обязан раскрывать данную информацию Клиент</w:t>
            </w:r>
            <w:r w:rsidR="00110751" w:rsidRPr="00E93C8D">
              <w:rPr>
                <w:b w:val="0"/>
                <w:i w:val="0"/>
                <w:sz w:val="20"/>
                <w:lang w:val="ru-RU"/>
              </w:rPr>
              <w:t>у</w:t>
            </w:r>
            <w:r w:rsidRPr="00E93C8D">
              <w:rPr>
                <w:b w:val="0"/>
                <w:i w:val="0"/>
                <w:sz w:val="20"/>
                <w:lang w:val="ru-RU"/>
              </w:rPr>
              <w:t xml:space="preserve"> или использовать ее в интересах Клиента, независимо от степени ее существенности для оказания Услуг.</w:t>
            </w:r>
          </w:p>
        </w:tc>
      </w:tr>
      <w:tr w:rsidR="00E93C8D" w:rsidRPr="00E93C8D" w:rsidTr="009576BA">
        <w:trPr>
          <w:gridAfter w:val="1"/>
          <w:wAfter w:w="392" w:type="dxa"/>
        </w:trPr>
        <w:tc>
          <w:tcPr>
            <w:tcW w:w="4820" w:type="dxa"/>
            <w:gridSpan w:val="2"/>
          </w:tcPr>
          <w:p w:rsidR="00975AE5" w:rsidRPr="00E93C8D" w:rsidRDefault="00975AE5" w:rsidP="003E124E">
            <w:pPr>
              <w:pStyle w:val="1"/>
              <w:keepNext w:val="0"/>
              <w:widowControl w:val="0"/>
              <w:numPr>
                <w:ilvl w:val="0"/>
                <w:numId w:val="0"/>
              </w:numPr>
              <w:spacing w:after="120"/>
              <w:outlineLvl w:val="0"/>
              <w:rPr>
                <w:i w:val="0"/>
                <w:sz w:val="20"/>
              </w:rPr>
            </w:pPr>
            <w:r w:rsidRPr="00E93C8D">
              <w:rPr>
                <w:bCs/>
                <w:i w:val="0"/>
                <w:sz w:val="20"/>
                <w:lang w:val="ru-RU"/>
              </w:rPr>
              <w:t xml:space="preserve">15. </w:t>
            </w:r>
            <w:r w:rsidRPr="00E93C8D">
              <w:rPr>
                <w:bCs/>
                <w:i w:val="0"/>
                <w:sz w:val="20"/>
              </w:rPr>
              <w:t>Staff</w:t>
            </w:r>
            <w:r w:rsidRPr="00E93C8D">
              <w:rPr>
                <w:i w:val="0"/>
                <w:sz w:val="20"/>
              </w:rPr>
              <w:t xml:space="preserve"> </w:t>
            </w:r>
          </w:p>
        </w:tc>
        <w:tc>
          <w:tcPr>
            <w:tcW w:w="4820" w:type="dxa"/>
            <w:gridSpan w:val="2"/>
          </w:tcPr>
          <w:p w:rsidR="00975AE5" w:rsidRPr="00E93C8D" w:rsidRDefault="00975AE5" w:rsidP="003E124E">
            <w:pPr>
              <w:pStyle w:val="1"/>
              <w:keepNext w:val="0"/>
              <w:widowControl w:val="0"/>
              <w:numPr>
                <w:ilvl w:val="0"/>
                <w:numId w:val="0"/>
              </w:numPr>
              <w:spacing w:after="120"/>
              <w:outlineLvl w:val="0"/>
              <w:rPr>
                <w:b w:val="0"/>
                <w:bCs/>
                <w:i w:val="0"/>
                <w:sz w:val="20"/>
              </w:rPr>
            </w:pPr>
            <w:r w:rsidRPr="00E93C8D">
              <w:rPr>
                <w:bCs/>
                <w:i w:val="0"/>
                <w:sz w:val="20"/>
              </w:rPr>
              <w:t>15. Персонал</w:t>
            </w:r>
          </w:p>
        </w:tc>
      </w:tr>
      <w:tr w:rsidR="00E93C8D" w:rsidRPr="009576BA" w:rsidTr="009576BA">
        <w:trPr>
          <w:gridAfter w:val="1"/>
          <w:wAfter w:w="392" w:type="dxa"/>
        </w:trPr>
        <w:tc>
          <w:tcPr>
            <w:tcW w:w="4820" w:type="dxa"/>
            <w:gridSpan w:val="2"/>
          </w:tcPr>
          <w:p w:rsidR="00975AE5" w:rsidRPr="00E93C8D" w:rsidRDefault="00975AE5" w:rsidP="00E50E58">
            <w:pPr>
              <w:pStyle w:val="1"/>
              <w:keepNext w:val="0"/>
              <w:widowControl w:val="0"/>
              <w:numPr>
                <w:ilvl w:val="0"/>
                <w:numId w:val="0"/>
              </w:numPr>
              <w:spacing w:after="120"/>
              <w:outlineLvl w:val="0"/>
              <w:rPr>
                <w:b w:val="0"/>
                <w:i w:val="0"/>
                <w:sz w:val="20"/>
              </w:rPr>
            </w:pPr>
            <w:r w:rsidRPr="00E93C8D">
              <w:rPr>
                <w:b w:val="0"/>
                <w:i w:val="0"/>
                <w:sz w:val="20"/>
              </w:rPr>
              <w:t xml:space="preserve">Deloitte and the Client each agree not to directly or indirectly solicit, employ or engage any personnel of the </w:t>
            </w:r>
            <w:r w:rsidRPr="00E93C8D">
              <w:rPr>
                <w:b w:val="0"/>
                <w:i w:val="0"/>
                <w:sz w:val="20"/>
              </w:rPr>
              <w:lastRenderedPageBreak/>
              <w:t>other party who within 12 months has been involved directly in the provision of the Services or otherwise directly connected with this Contract, except if an individual responds directly to a general recruitment campaign. In case of breach of this obligation the Client shall reimburse Deloitte the amount equal to the annual gross salary of such employee, as stated in the employment contract signed between Deloitte and such employee which was in effect before such employee was hired by the Client.</w:t>
            </w:r>
          </w:p>
        </w:tc>
        <w:tc>
          <w:tcPr>
            <w:tcW w:w="4820" w:type="dxa"/>
            <w:gridSpan w:val="2"/>
          </w:tcPr>
          <w:p w:rsidR="00975AE5" w:rsidRPr="00E93C8D" w:rsidRDefault="00975AE5" w:rsidP="002C44C3">
            <w:pPr>
              <w:pStyle w:val="1"/>
              <w:keepNext w:val="0"/>
              <w:widowControl w:val="0"/>
              <w:numPr>
                <w:ilvl w:val="0"/>
                <w:numId w:val="0"/>
              </w:numPr>
              <w:spacing w:after="120"/>
              <w:outlineLvl w:val="0"/>
              <w:rPr>
                <w:b w:val="0"/>
                <w:i w:val="0"/>
                <w:sz w:val="20"/>
                <w:lang w:val="ru-RU"/>
              </w:rPr>
            </w:pPr>
            <w:r w:rsidRPr="00E93C8D">
              <w:rPr>
                <w:b w:val="0"/>
                <w:i w:val="0"/>
                <w:sz w:val="20"/>
                <w:lang w:val="ru-RU"/>
              </w:rPr>
              <w:lastRenderedPageBreak/>
              <w:t xml:space="preserve">Делойт и Клиент соглашаются воздерживаться прямо или косвенно от предложений, найма или </w:t>
            </w:r>
            <w:r w:rsidRPr="00E93C8D">
              <w:rPr>
                <w:b w:val="0"/>
                <w:i w:val="0"/>
                <w:sz w:val="20"/>
                <w:lang w:val="ru-RU"/>
              </w:rPr>
              <w:lastRenderedPageBreak/>
              <w:t xml:space="preserve">привлечения любого персонала друг друга, который в </w:t>
            </w:r>
            <w:r w:rsidR="002C44C3" w:rsidRPr="00E93C8D">
              <w:rPr>
                <w:b w:val="0"/>
                <w:i w:val="0"/>
                <w:sz w:val="20"/>
                <w:lang w:val="ru-RU"/>
              </w:rPr>
              <w:t>пределах</w:t>
            </w:r>
            <w:r w:rsidRPr="00E93C8D">
              <w:rPr>
                <w:b w:val="0"/>
                <w:i w:val="0"/>
                <w:sz w:val="20"/>
                <w:lang w:val="ru-RU"/>
              </w:rPr>
              <w:t xml:space="preserve"> 12 (двенадцат</w:t>
            </w:r>
            <w:r w:rsidR="002C44C3" w:rsidRPr="00E93C8D">
              <w:rPr>
                <w:b w:val="0"/>
                <w:i w:val="0"/>
                <w:sz w:val="20"/>
                <w:lang w:val="ru-RU"/>
              </w:rPr>
              <w:t>и</w:t>
            </w:r>
            <w:r w:rsidRPr="00E93C8D">
              <w:rPr>
                <w:b w:val="0"/>
                <w:i w:val="0"/>
                <w:sz w:val="20"/>
                <w:lang w:val="ru-RU"/>
              </w:rPr>
              <w:t>) месяцев</w:t>
            </w:r>
            <w:r w:rsidR="002C44C3" w:rsidRPr="00E93C8D">
              <w:rPr>
                <w:b w:val="0"/>
                <w:i w:val="0"/>
                <w:sz w:val="20"/>
                <w:lang w:val="ru-RU"/>
              </w:rPr>
              <w:t xml:space="preserve"> до найма или привлечения персонала</w:t>
            </w:r>
            <w:r w:rsidRPr="00E93C8D">
              <w:rPr>
                <w:b w:val="0"/>
                <w:i w:val="0"/>
                <w:sz w:val="20"/>
                <w:lang w:val="ru-RU"/>
              </w:rPr>
              <w:t xml:space="preserve"> был вовлечен непосредственно в оказание Услуг или иным образом непосредственно связан с настоящим </w:t>
            </w:r>
            <w:r w:rsidRPr="00E93C8D">
              <w:rPr>
                <w:b w:val="0"/>
                <w:i w:val="0"/>
                <w:sz w:val="20"/>
                <w:lang w:val="ru-RU" w:eastAsia="ru-RU"/>
              </w:rPr>
              <w:t>Договором</w:t>
            </w:r>
            <w:r w:rsidRPr="00E93C8D">
              <w:rPr>
                <w:b w:val="0"/>
                <w:i w:val="0"/>
                <w:sz w:val="20"/>
                <w:lang w:val="ru-RU"/>
              </w:rPr>
              <w:t>. В случае нарушения данного обязательства Клиент обязуется выплатить Делойт компенсацию в размере годовой заработной платы, определенной трудовым договором, заключенным между таким работником и Делойт, действовавшим до момента найма такого работника Клиентом.</w:t>
            </w:r>
          </w:p>
        </w:tc>
      </w:tr>
      <w:tr w:rsidR="00E93C8D" w:rsidRPr="00E93C8D" w:rsidTr="009576BA">
        <w:trPr>
          <w:gridAfter w:val="1"/>
          <w:wAfter w:w="392" w:type="dxa"/>
        </w:trPr>
        <w:tc>
          <w:tcPr>
            <w:tcW w:w="4820" w:type="dxa"/>
            <w:gridSpan w:val="2"/>
          </w:tcPr>
          <w:p w:rsidR="00961015" w:rsidRPr="00E93C8D" w:rsidRDefault="00961015" w:rsidP="00961015">
            <w:pPr>
              <w:pStyle w:val="1"/>
              <w:keepNext w:val="0"/>
              <w:widowControl w:val="0"/>
              <w:numPr>
                <w:ilvl w:val="0"/>
                <w:numId w:val="0"/>
              </w:numPr>
              <w:spacing w:after="120"/>
              <w:outlineLvl w:val="0"/>
              <w:rPr>
                <w:i w:val="0"/>
                <w:sz w:val="20"/>
              </w:rPr>
            </w:pPr>
            <w:r w:rsidRPr="00E93C8D">
              <w:rPr>
                <w:bCs/>
                <w:i w:val="0"/>
                <w:sz w:val="20"/>
                <w:lang w:val="ru-RU"/>
              </w:rPr>
              <w:lastRenderedPageBreak/>
              <w:t xml:space="preserve">16. </w:t>
            </w:r>
            <w:r w:rsidRPr="00E93C8D">
              <w:rPr>
                <w:bCs/>
                <w:i w:val="0"/>
                <w:sz w:val="20"/>
              </w:rPr>
              <w:t>Destruction of Working Papers</w:t>
            </w:r>
          </w:p>
        </w:tc>
        <w:tc>
          <w:tcPr>
            <w:tcW w:w="4820" w:type="dxa"/>
            <w:gridSpan w:val="2"/>
          </w:tcPr>
          <w:p w:rsidR="00961015" w:rsidRPr="00E93C8D" w:rsidRDefault="00961015" w:rsidP="00961015">
            <w:pPr>
              <w:pStyle w:val="1"/>
              <w:keepNext w:val="0"/>
              <w:widowControl w:val="0"/>
              <w:numPr>
                <w:ilvl w:val="0"/>
                <w:numId w:val="0"/>
              </w:numPr>
              <w:spacing w:after="120"/>
              <w:outlineLvl w:val="0"/>
              <w:rPr>
                <w:b w:val="0"/>
                <w:bCs/>
                <w:i w:val="0"/>
                <w:sz w:val="20"/>
                <w:lang w:val="ru-RU"/>
              </w:rPr>
            </w:pPr>
            <w:r w:rsidRPr="00E93C8D">
              <w:rPr>
                <w:bCs/>
                <w:i w:val="0"/>
                <w:sz w:val="20"/>
              </w:rPr>
              <w:t xml:space="preserve">16. </w:t>
            </w:r>
            <w:r w:rsidRPr="00E93C8D">
              <w:rPr>
                <w:bCs/>
                <w:i w:val="0"/>
                <w:sz w:val="20"/>
                <w:lang w:val="ru-RU"/>
              </w:rPr>
              <w:t>Уничтожение документов</w:t>
            </w:r>
          </w:p>
        </w:tc>
      </w:tr>
      <w:tr w:rsidR="00E93C8D" w:rsidRPr="009576BA" w:rsidTr="009576BA">
        <w:trPr>
          <w:gridAfter w:val="1"/>
          <w:wAfter w:w="392" w:type="dxa"/>
        </w:trPr>
        <w:tc>
          <w:tcPr>
            <w:tcW w:w="4820" w:type="dxa"/>
            <w:gridSpan w:val="2"/>
          </w:tcPr>
          <w:p w:rsidR="00961015" w:rsidRPr="00E93C8D" w:rsidRDefault="00961015" w:rsidP="00961015">
            <w:pPr>
              <w:pStyle w:val="1"/>
              <w:keepNext w:val="0"/>
              <w:widowControl w:val="0"/>
              <w:numPr>
                <w:ilvl w:val="0"/>
                <w:numId w:val="0"/>
              </w:numPr>
              <w:spacing w:after="120"/>
              <w:outlineLvl w:val="0"/>
              <w:rPr>
                <w:b w:val="0"/>
                <w:i w:val="0"/>
                <w:sz w:val="20"/>
              </w:rPr>
            </w:pPr>
            <w:r w:rsidRPr="00E93C8D">
              <w:rPr>
                <w:b w:val="0"/>
                <w:i w:val="0"/>
                <w:sz w:val="20"/>
              </w:rPr>
              <w:t>Deloitte may retain copies of documents and files provided by the Client in connection with the Services for purposes of compliance with professional standards and internal retention policies. Any documents and files retained by Deloitte on completion of the Services (including documents legally belonging to the Client) may routinely be destroyed in accordance with Deloitte Entities’ policies applying from time to time.</w:t>
            </w:r>
          </w:p>
        </w:tc>
        <w:tc>
          <w:tcPr>
            <w:tcW w:w="4820" w:type="dxa"/>
            <w:gridSpan w:val="2"/>
          </w:tcPr>
          <w:p w:rsidR="00961015" w:rsidRPr="00E93C8D" w:rsidRDefault="00961015" w:rsidP="00961015">
            <w:pPr>
              <w:pStyle w:val="1"/>
              <w:keepNext w:val="0"/>
              <w:widowControl w:val="0"/>
              <w:numPr>
                <w:ilvl w:val="0"/>
                <w:numId w:val="0"/>
              </w:numPr>
              <w:spacing w:after="120"/>
              <w:outlineLvl w:val="0"/>
              <w:rPr>
                <w:b w:val="0"/>
                <w:i w:val="0"/>
                <w:sz w:val="20"/>
                <w:lang w:val="ru-RU"/>
              </w:rPr>
            </w:pPr>
            <w:r w:rsidRPr="00E93C8D">
              <w:rPr>
                <w:b w:val="0"/>
                <w:i w:val="0"/>
                <w:sz w:val="20"/>
                <w:lang w:val="ru-RU"/>
              </w:rPr>
              <w:t>Делойт вправе сохранять копии документов и файлов, предоставленных Клиентом в связи с оказанием Услуг для целей проверок соответствия профессиональным стандартам и в соответствии с внутренними политиками хранения документов и файлов. Любые документы и файлы, сохраненные Делойт по завершении оказания Услуг (включая документы, юридически принадлежащие Клиенту на правах собственности), могут быть в установленном порядке уничтожены в соответствии с политикой Компаний Делойт, действующей на соответствующий момент времени.</w:t>
            </w:r>
          </w:p>
        </w:tc>
      </w:tr>
      <w:tr w:rsidR="00E93C8D" w:rsidRPr="009576BA" w:rsidTr="009576BA">
        <w:trPr>
          <w:gridAfter w:val="1"/>
          <w:wAfter w:w="392" w:type="dxa"/>
        </w:trPr>
        <w:tc>
          <w:tcPr>
            <w:tcW w:w="4820" w:type="dxa"/>
            <w:gridSpan w:val="2"/>
          </w:tcPr>
          <w:p w:rsidR="00961015" w:rsidRPr="00E93C8D" w:rsidRDefault="00961015" w:rsidP="00961015">
            <w:pPr>
              <w:pStyle w:val="1"/>
              <w:keepNext w:val="0"/>
              <w:widowControl w:val="0"/>
              <w:numPr>
                <w:ilvl w:val="0"/>
                <w:numId w:val="0"/>
              </w:numPr>
              <w:spacing w:after="120"/>
              <w:outlineLvl w:val="0"/>
              <w:rPr>
                <w:i w:val="0"/>
                <w:sz w:val="20"/>
              </w:rPr>
            </w:pPr>
            <w:r w:rsidRPr="00E93C8D">
              <w:rPr>
                <w:bCs/>
                <w:i w:val="0"/>
                <w:sz w:val="20"/>
              </w:rPr>
              <w:t>17. Marketing Material &amp; Use of Name</w:t>
            </w:r>
          </w:p>
        </w:tc>
        <w:tc>
          <w:tcPr>
            <w:tcW w:w="4820" w:type="dxa"/>
            <w:gridSpan w:val="2"/>
          </w:tcPr>
          <w:p w:rsidR="00961015" w:rsidRPr="00E93C8D" w:rsidRDefault="00961015" w:rsidP="00961015">
            <w:pPr>
              <w:pStyle w:val="1"/>
              <w:keepNext w:val="0"/>
              <w:widowControl w:val="0"/>
              <w:numPr>
                <w:ilvl w:val="0"/>
                <w:numId w:val="0"/>
              </w:numPr>
              <w:spacing w:after="120"/>
              <w:outlineLvl w:val="0"/>
              <w:rPr>
                <w:b w:val="0"/>
                <w:bCs/>
                <w:i w:val="0"/>
                <w:sz w:val="20"/>
                <w:lang w:val="ru-RU"/>
              </w:rPr>
            </w:pPr>
            <w:r w:rsidRPr="00E93C8D">
              <w:rPr>
                <w:bCs/>
                <w:i w:val="0"/>
                <w:sz w:val="20"/>
                <w:lang w:val="ru-RU"/>
              </w:rPr>
              <w:t>17. Рекламные материалы и использование наименования</w:t>
            </w:r>
          </w:p>
        </w:tc>
      </w:tr>
      <w:tr w:rsidR="00E93C8D" w:rsidRPr="009576BA" w:rsidTr="009576BA">
        <w:trPr>
          <w:gridAfter w:val="1"/>
          <w:wAfter w:w="392" w:type="dxa"/>
        </w:trPr>
        <w:tc>
          <w:tcPr>
            <w:tcW w:w="4820" w:type="dxa"/>
            <w:gridSpan w:val="2"/>
          </w:tcPr>
          <w:p w:rsidR="00961015" w:rsidRPr="00E93C8D" w:rsidRDefault="00961015" w:rsidP="00961015">
            <w:pPr>
              <w:pStyle w:val="1"/>
              <w:keepNext w:val="0"/>
              <w:widowControl w:val="0"/>
              <w:numPr>
                <w:ilvl w:val="0"/>
                <w:numId w:val="0"/>
              </w:numPr>
              <w:spacing w:after="120"/>
              <w:outlineLvl w:val="0"/>
              <w:rPr>
                <w:b w:val="0"/>
                <w:i w:val="0"/>
                <w:sz w:val="20"/>
                <w:shd w:val="clear" w:color="auto" w:fill="FFFFFF"/>
              </w:rPr>
            </w:pPr>
            <w:r w:rsidRPr="00E93C8D">
              <w:rPr>
                <w:b w:val="0"/>
                <w:i w:val="0"/>
                <w:sz w:val="20"/>
              </w:rPr>
              <w:t>Neither Deloitte Entities nor the Client shall use the other party’s trademarks, service marks, logos, and/or branding in external publicity material</w:t>
            </w:r>
            <w:r w:rsidRPr="00E93C8D">
              <w:rPr>
                <w:b w:val="0"/>
                <w:i w:val="0"/>
                <w:sz w:val="20"/>
                <w:shd w:val="clear" w:color="auto" w:fill="FFFFFF"/>
              </w:rPr>
              <w:t xml:space="preserve"> without such other party’s prior written consent. </w:t>
            </w:r>
          </w:p>
          <w:p w:rsidR="00961015" w:rsidRPr="00E93C8D" w:rsidRDefault="00961015" w:rsidP="00961015">
            <w:pPr>
              <w:pStyle w:val="1"/>
              <w:keepNext w:val="0"/>
              <w:widowControl w:val="0"/>
              <w:numPr>
                <w:ilvl w:val="0"/>
                <w:numId w:val="0"/>
              </w:numPr>
              <w:spacing w:after="120"/>
              <w:outlineLvl w:val="0"/>
              <w:rPr>
                <w:b w:val="0"/>
                <w:i w:val="0"/>
                <w:sz w:val="20"/>
              </w:rPr>
            </w:pPr>
            <w:r w:rsidRPr="00E93C8D">
              <w:rPr>
                <w:b w:val="0"/>
                <w:i w:val="0"/>
                <w:sz w:val="20"/>
                <w:shd w:val="clear" w:color="auto" w:fill="FFFFFF"/>
              </w:rPr>
              <w:t xml:space="preserve">However, </w:t>
            </w:r>
            <w:r w:rsidRPr="00E93C8D">
              <w:rPr>
                <w:b w:val="0"/>
                <w:i w:val="0"/>
                <w:sz w:val="20"/>
              </w:rPr>
              <w:t>Deloitte Entities may refer to the name and logo of the Client and the performance of the Services in (a) marketing and publicity materials, as an indication of its experience, and (b) in internal data systems.</w:t>
            </w:r>
          </w:p>
        </w:tc>
        <w:tc>
          <w:tcPr>
            <w:tcW w:w="4820" w:type="dxa"/>
            <w:gridSpan w:val="2"/>
          </w:tcPr>
          <w:p w:rsidR="00961015" w:rsidRPr="00E93C8D" w:rsidRDefault="00961015" w:rsidP="00CA1347">
            <w:pPr>
              <w:pStyle w:val="1"/>
              <w:keepNext w:val="0"/>
              <w:widowControl w:val="0"/>
              <w:numPr>
                <w:ilvl w:val="0"/>
                <w:numId w:val="0"/>
              </w:numPr>
              <w:spacing w:after="120"/>
              <w:outlineLvl w:val="0"/>
              <w:rPr>
                <w:b w:val="0"/>
                <w:i w:val="0"/>
                <w:sz w:val="20"/>
                <w:lang w:val="ru-RU"/>
              </w:rPr>
            </w:pPr>
            <w:r w:rsidRPr="00E93C8D">
              <w:rPr>
                <w:b w:val="0"/>
                <w:i w:val="0"/>
                <w:sz w:val="20"/>
                <w:lang w:val="ru-RU"/>
              </w:rPr>
              <w:t>Ни Компании Делойт, ни Клиент не имеют права использовать товарные знаки, знаки обслуживания, логотипы и/или фирменное наименование друг друга во внешних рекламных материалах без предварительного письменного согласия. При этом Компании Делойт вправе ссылаться на наименование и логотип Клиента</w:t>
            </w:r>
            <w:r w:rsidR="00CA1347" w:rsidRPr="00E93C8D">
              <w:rPr>
                <w:b w:val="0"/>
                <w:i w:val="0"/>
                <w:sz w:val="20"/>
                <w:lang w:val="ru-RU"/>
              </w:rPr>
              <w:t>, а также на описание Услуг</w:t>
            </w:r>
            <w:r w:rsidRPr="00E93C8D">
              <w:rPr>
                <w:b w:val="0"/>
                <w:i w:val="0"/>
                <w:sz w:val="20"/>
                <w:lang w:val="ru-RU"/>
              </w:rPr>
              <w:t xml:space="preserve"> (а) в рекламных материалах для описания опыта оказания Услуг, и (б) во внутренних системах хранения данных.</w:t>
            </w:r>
          </w:p>
        </w:tc>
      </w:tr>
      <w:tr w:rsidR="00E93C8D" w:rsidRPr="00E93C8D" w:rsidTr="009576BA">
        <w:trPr>
          <w:gridAfter w:val="1"/>
          <w:wAfter w:w="392" w:type="dxa"/>
        </w:trPr>
        <w:tc>
          <w:tcPr>
            <w:tcW w:w="4820" w:type="dxa"/>
            <w:gridSpan w:val="2"/>
          </w:tcPr>
          <w:p w:rsidR="00CA1347" w:rsidRPr="00E93C8D" w:rsidRDefault="00CA1347" w:rsidP="00CA1347">
            <w:pPr>
              <w:pStyle w:val="1"/>
              <w:keepNext w:val="0"/>
              <w:widowControl w:val="0"/>
              <w:numPr>
                <w:ilvl w:val="0"/>
                <w:numId w:val="0"/>
              </w:numPr>
              <w:spacing w:after="120"/>
              <w:outlineLvl w:val="0"/>
              <w:rPr>
                <w:b w:val="0"/>
                <w:i w:val="0"/>
                <w:sz w:val="20"/>
              </w:rPr>
            </w:pPr>
            <w:r w:rsidRPr="00E93C8D">
              <w:rPr>
                <w:i w:val="0"/>
                <w:sz w:val="20"/>
                <w:lang w:val="ru-RU"/>
              </w:rPr>
              <w:t xml:space="preserve">18. </w:t>
            </w:r>
            <w:r w:rsidRPr="00E93C8D">
              <w:rPr>
                <w:i w:val="0"/>
                <w:sz w:val="20"/>
              </w:rPr>
              <w:t>Spreadsheets, Models and Tools</w:t>
            </w:r>
          </w:p>
        </w:tc>
        <w:tc>
          <w:tcPr>
            <w:tcW w:w="4820" w:type="dxa"/>
            <w:gridSpan w:val="2"/>
          </w:tcPr>
          <w:p w:rsidR="00CA1347" w:rsidRPr="00E93C8D" w:rsidRDefault="00CA1347" w:rsidP="00CA1347">
            <w:pPr>
              <w:pStyle w:val="1"/>
              <w:keepNext w:val="0"/>
              <w:widowControl w:val="0"/>
              <w:numPr>
                <w:ilvl w:val="0"/>
                <w:numId w:val="0"/>
              </w:numPr>
              <w:spacing w:after="120"/>
              <w:outlineLvl w:val="0"/>
              <w:rPr>
                <w:b w:val="0"/>
                <w:i w:val="0"/>
                <w:sz w:val="20"/>
              </w:rPr>
            </w:pPr>
            <w:r w:rsidRPr="00E93C8D">
              <w:rPr>
                <w:i w:val="0"/>
                <w:sz w:val="20"/>
              </w:rPr>
              <w:t xml:space="preserve">18. </w:t>
            </w:r>
            <w:r w:rsidRPr="00E93C8D">
              <w:rPr>
                <w:i w:val="0"/>
                <w:sz w:val="20"/>
                <w:lang w:val="ru-RU"/>
              </w:rPr>
              <w:t>Таблицы, Модели и Методы</w:t>
            </w:r>
          </w:p>
        </w:tc>
      </w:tr>
      <w:tr w:rsidR="00E93C8D" w:rsidRPr="009576BA" w:rsidTr="009576BA">
        <w:trPr>
          <w:gridAfter w:val="1"/>
          <w:wAfter w:w="392" w:type="dxa"/>
        </w:trPr>
        <w:tc>
          <w:tcPr>
            <w:tcW w:w="4820" w:type="dxa"/>
            <w:gridSpan w:val="2"/>
          </w:tcPr>
          <w:p w:rsidR="00CA1347" w:rsidRPr="00E93C8D" w:rsidRDefault="00CA1347" w:rsidP="00CA1347">
            <w:pPr>
              <w:pStyle w:val="1"/>
              <w:keepNext w:val="0"/>
              <w:widowControl w:val="0"/>
              <w:numPr>
                <w:ilvl w:val="0"/>
                <w:numId w:val="0"/>
              </w:numPr>
              <w:spacing w:after="120"/>
              <w:outlineLvl w:val="0"/>
              <w:rPr>
                <w:b w:val="0"/>
                <w:i w:val="0"/>
                <w:sz w:val="20"/>
                <w:highlight w:val="yellow"/>
              </w:rPr>
            </w:pPr>
            <w:r w:rsidRPr="00E93C8D">
              <w:rPr>
                <w:b w:val="0"/>
                <w:i w:val="0"/>
                <w:sz w:val="20"/>
              </w:rPr>
              <w:t>In the course of providing the Services, Deloitte may make reference to spreadsheets, models or tools (together “Models”) that the Client provides to Deloitte or requests Deloitte to rely upon (“Client Models”) or that Deloitte otherwise uses in connection with the Services (“Deloitte Models”). All Models have limitations and may not produce valid results for all possible combinations of input data with the result that actual and potential errors are not detected. Unless otherwise expressly agreed in the Contract: (a) Deloitte will not be responsible for reviewing, testing or detecting any errors in any Client Models; (b) no Deloitte Model will be provided or treated as Advice;</w:t>
            </w:r>
            <w:r w:rsidRPr="00E93C8D" w:rsidDel="00EB1548">
              <w:rPr>
                <w:b w:val="0"/>
                <w:i w:val="0"/>
                <w:sz w:val="20"/>
              </w:rPr>
              <w:t xml:space="preserve"> </w:t>
            </w:r>
            <w:r w:rsidRPr="00E93C8D">
              <w:rPr>
                <w:b w:val="0"/>
                <w:i w:val="0"/>
                <w:sz w:val="20"/>
              </w:rPr>
              <w:t xml:space="preserve">and (c) where Deloitte provides any Deloitte Model by way of explanation or illustration of any Advice, Deloitte makes no representation, warranty or undertaking (express or implied) of any kind about the accuracy, suitability or adequacy of any such Deloitte Model for the Client’s own needs. </w:t>
            </w:r>
          </w:p>
        </w:tc>
        <w:tc>
          <w:tcPr>
            <w:tcW w:w="4820" w:type="dxa"/>
            <w:gridSpan w:val="2"/>
          </w:tcPr>
          <w:p w:rsidR="00CA1347" w:rsidRPr="00E93C8D" w:rsidRDefault="00CA1347" w:rsidP="00CA1347">
            <w:pPr>
              <w:pStyle w:val="1"/>
              <w:keepNext w:val="0"/>
              <w:widowControl w:val="0"/>
              <w:numPr>
                <w:ilvl w:val="0"/>
                <w:numId w:val="0"/>
              </w:numPr>
              <w:spacing w:after="120"/>
              <w:outlineLvl w:val="0"/>
              <w:rPr>
                <w:b w:val="0"/>
                <w:i w:val="0"/>
                <w:sz w:val="20"/>
                <w:highlight w:val="yellow"/>
                <w:lang w:val="ru-RU"/>
              </w:rPr>
            </w:pPr>
            <w:r w:rsidRPr="00E93C8D">
              <w:rPr>
                <w:b w:val="0"/>
                <w:i w:val="0"/>
                <w:sz w:val="20"/>
                <w:lang w:val="ru-RU"/>
              </w:rPr>
              <w:t xml:space="preserve">В процессе предоставления Услуг, Делойт может делать отсылки к таблицам, шаблонам и методам (вместе «Шаблоны»), которые Клиент предоставляет Делойт, или которые требует использовать Клиент («Шаблоны Клиента»), или которые Делойт использует в связи с оказанием Услуг («Шаблоны Делойт»). Все Шаблоны имеют ограничения и могут не привести к точным результатам для всех возможных комбинаций вводных данных в результате чего не будут выявлены ошибки ни в настоящем, ни в будущем времени. Если иное не согласовано Сторонами в </w:t>
            </w:r>
            <w:r w:rsidRPr="00E93C8D">
              <w:rPr>
                <w:b w:val="0"/>
                <w:i w:val="0"/>
                <w:sz w:val="20"/>
                <w:lang w:val="ru-RU" w:eastAsia="ru-RU"/>
              </w:rPr>
              <w:t>Договоре</w:t>
            </w:r>
            <w:r w:rsidRPr="00E93C8D">
              <w:rPr>
                <w:b w:val="0"/>
                <w:i w:val="0"/>
                <w:sz w:val="20"/>
                <w:lang w:val="ru-RU"/>
              </w:rPr>
              <w:t xml:space="preserve">: (а) Делойт не будет нести ответственность за проверку, тестирование и определение любых ошибок в любых Шаблонах Клиента; (б) ни один из Шаблонов Делойт не предоставляется и не расценивается как Рекомендация; и (в) в случае, когда Делойт предоставляет любой Шаблон Делойт путем объяснений или иллюстраций любой Рекомендации, Делойт не дает никаких гарантий или заверений или обязательств (явных или подразумеваемых) касательно точности, соответствия или применимости какого-либо из Шаблона Делойт для нужд Клиента.  </w:t>
            </w:r>
          </w:p>
        </w:tc>
      </w:tr>
      <w:tr w:rsidR="00E93C8D" w:rsidRPr="00E93C8D" w:rsidTr="009576BA">
        <w:trPr>
          <w:gridAfter w:val="1"/>
          <w:wAfter w:w="392" w:type="dxa"/>
        </w:trPr>
        <w:tc>
          <w:tcPr>
            <w:tcW w:w="4820" w:type="dxa"/>
            <w:gridSpan w:val="2"/>
          </w:tcPr>
          <w:p w:rsidR="00CA1347" w:rsidRPr="00E93C8D" w:rsidRDefault="00CA1347" w:rsidP="00CA1347">
            <w:pPr>
              <w:pStyle w:val="1"/>
              <w:keepNext w:val="0"/>
              <w:widowControl w:val="0"/>
              <w:numPr>
                <w:ilvl w:val="0"/>
                <w:numId w:val="0"/>
              </w:numPr>
              <w:spacing w:after="120"/>
              <w:outlineLvl w:val="0"/>
              <w:rPr>
                <w:i w:val="0"/>
                <w:sz w:val="20"/>
              </w:rPr>
            </w:pPr>
            <w:r w:rsidRPr="00E93C8D">
              <w:rPr>
                <w:i w:val="0"/>
                <w:sz w:val="20"/>
                <w:lang w:val="ru-RU"/>
              </w:rPr>
              <w:lastRenderedPageBreak/>
              <w:t xml:space="preserve">19. </w:t>
            </w:r>
            <w:r w:rsidRPr="00E93C8D">
              <w:rPr>
                <w:i w:val="0"/>
                <w:sz w:val="20"/>
              </w:rPr>
              <w:t>Data Protection</w:t>
            </w:r>
          </w:p>
        </w:tc>
        <w:tc>
          <w:tcPr>
            <w:tcW w:w="4820" w:type="dxa"/>
            <w:gridSpan w:val="2"/>
          </w:tcPr>
          <w:p w:rsidR="00CA1347" w:rsidRPr="00E93C8D" w:rsidRDefault="00CA1347" w:rsidP="00CA1347">
            <w:pPr>
              <w:pStyle w:val="1"/>
              <w:keepNext w:val="0"/>
              <w:widowControl w:val="0"/>
              <w:numPr>
                <w:ilvl w:val="0"/>
                <w:numId w:val="0"/>
              </w:numPr>
              <w:spacing w:after="120"/>
              <w:outlineLvl w:val="0"/>
              <w:rPr>
                <w:b w:val="0"/>
                <w:i w:val="0"/>
                <w:sz w:val="20"/>
                <w:lang w:val="ru-RU"/>
              </w:rPr>
            </w:pPr>
            <w:r w:rsidRPr="00E93C8D">
              <w:rPr>
                <w:i w:val="0"/>
                <w:sz w:val="20"/>
              </w:rPr>
              <w:t xml:space="preserve">19. </w:t>
            </w:r>
            <w:r w:rsidRPr="00E93C8D">
              <w:rPr>
                <w:i w:val="0"/>
                <w:sz w:val="20"/>
                <w:lang w:val="ru-RU"/>
              </w:rPr>
              <w:t>Защита данных</w:t>
            </w:r>
          </w:p>
        </w:tc>
      </w:tr>
      <w:tr w:rsidR="00E93C8D" w:rsidRPr="009576BA" w:rsidTr="009576BA">
        <w:trPr>
          <w:gridAfter w:val="1"/>
          <w:wAfter w:w="392" w:type="dxa"/>
        </w:trPr>
        <w:tc>
          <w:tcPr>
            <w:tcW w:w="4820" w:type="dxa"/>
            <w:gridSpan w:val="2"/>
          </w:tcPr>
          <w:p w:rsidR="00CA1347" w:rsidRPr="00E93C8D" w:rsidRDefault="00CA1347" w:rsidP="00CA1347">
            <w:pPr>
              <w:pStyle w:val="1"/>
              <w:keepNext w:val="0"/>
              <w:widowControl w:val="0"/>
              <w:numPr>
                <w:ilvl w:val="0"/>
                <w:numId w:val="0"/>
              </w:numPr>
              <w:spacing w:after="120"/>
              <w:outlineLvl w:val="0"/>
              <w:rPr>
                <w:b w:val="0"/>
                <w:i w:val="0"/>
                <w:sz w:val="20"/>
                <w:highlight w:val="yellow"/>
              </w:rPr>
            </w:pPr>
            <w:r w:rsidRPr="00E93C8D">
              <w:rPr>
                <w:b w:val="0"/>
                <w:i w:val="0"/>
                <w:sz w:val="20"/>
              </w:rPr>
              <w:t>(a) The Client can provide Deloitte with the information on the Client’s identified or identifiable individuals (</w:t>
            </w:r>
            <w:r w:rsidR="003546F3" w:rsidRPr="00E93C8D">
              <w:rPr>
                <w:b w:val="0"/>
                <w:i w:val="0"/>
                <w:sz w:val="20"/>
              </w:rPr>
              <w:t xml:space="preserve">“Personal Data” or </w:t>
            </w:r>
            <w:r w:rsidRPr="00E93C8D">
              <w:rPr>
                <w:b w:val="0"/>
                <w:i w:val="0"/>
                <w:sz w:val="20"/>
              </w:rPr>
              <w:t>“Personal Data Subjects”</w:t>
            </w:r>
            <w:r w:rsidR="003546F3" w:rsidRPr="00E93C8D">
              <w:rPr>
                <w:b w:val="0"/>
                <w:i w:val="0"/>
                <w:sz w:val="20"/>
              </w:rPr>
              <w:t xml:space="preserve"> accordingly</w:t>
            </w:r>
            <w:r w:rsidRPr="00E93C8D">
              <w:rPr>
                <w:b w:val="0"/>
                <w:i w:val="0"/>
                <w:sz w:val="20"/>
              </w:rPr>
              <w:t>). Deloitte shall have the right to process Personal Data only for the purposes of executing the Contract, rendering of the Services under the Contract, as well as for the purposes and in cases provided for by the legislation of the Russian Federation (including, but not limited to anti-money laundering, financial and currency regulations,  debt recovery). Deloitte shall process Personal Data in compliance with security obligations equivalent to those legally imposed on the Client.</w:t>
            </w:r>
          </w:p>
        </w:tc>
        <w:tc>
          <w:tcPr>
            <w:tcW w:w="4820" w:type="dxa"/>
            <w:gridSpan w:val="2"/>
          </w:tcPr>
          <w:p w:rsidR="00CA1347" w:rsidRPr="00E93C8D" w:rsidRDefault="00CA1347" w:rsidP="00CA1347">
            <w:pPr>
              <w:pStyle w:val="1"/>
              <w:keepNext w:val="0"/>
              <w:widowControl w:val="0"/>
              <w:numPr>
                <w:ilvl w:val="0"/>
                <w:numId w:val="0"/>
              </w:numPr>
              <w:spacing w:after="120"/>
              <w:outlineLvl w:val="0"/>
              <w:rPr>
                <w:b w:val="0"/>
                <w:i w:val="0"/>
                <w:sz w:val="20"/>
                <w:lang w:val="ru-RU"/>
              </w:rPr>
            </w:pPr>
            <w:r w:rsidRPr="00E93C8D">
              <w:rPr>
                <w:b w:val="0"/>
                <w:i w:val="0"/>
                <w:sz w:val="20"/>
                <w:lang w:val="ru-RU"/>
              </w:rPr>
              <w:t>(а) Клиент может передавать Делойт информацию, относящуюся к определенным или определяемым лицам Клиента (</w:t>
            </w:r>
            <w:r w:rsidR="003546F3" w:rsidRPr="00E93C8D">
              <w:rPr>
                <w:b w:val="0"/>
                <w:i w:val="0"/>
                <w:sz w:val="20"/>
                <w:lang w:val="ru-RU"/>
              </w:rPr>
              <w:t xml:space="preserve">«Персональные данные» или </w:t>
            </w:r>
            <w:r w:rsidRPr="00E93C8D">
              <w:rPr>
                <w:b w:val="0"/>
                <w:i w:val="0"/>
                <w:sz w:val="20"/>
                <w:lang w:val="ru-RU"/>
              </w:rPr>
              <w:t>«Субъекты персональных данных»</w:t>
            </w:r>
            <w:r w:rsidR="003546F3" w:rsidRPr="00E93C8D">
              <w:rPr>
                <w:b w:val="0"/>
                <w:i w:val="0"/>
                <w:sz w:val="20"/>
                <w:lang w:val="ru-RU"/>
              </w:rPr>
              <w:t xml:space="preserve"> соответственно</w:t>
            </w:r>
            <w:r w:rsidRPr="00E93C8D">
              <w:rPr>
                <w:b w:val="0"/>
                <w:i w:val="0"/>
                <w:sz w:val="20"/>
                <w:lang w:val="ru-RU"/>
              </w:rPr>
              <w:t xml:space="preserve">).  Делойт вправе обрабатывать Персональные данные исключительно в целях заключения </w:t>
            </w:r>
            <w:r w:rsidRPr="00E93C8D">
              <w:rPr>
                <w:b w:val="0"/>
                <w:i w:val="0"/>
                <w:sz w:val="20"/>
                <w:lang w:val="ru-RU" w:eastAsia="ru-RU"/>
              </w:rPr>
              <w:t>Договора</w:t>
            </w:r>
            <w:r w:rsidRPr="00E93C8D">
              <w:rPr>
                <w:b w:val="0"/>
                <w:i w:val="0"/>
                <w:sz w:val="20"/>
                <w:lang w:val="ru-RU"/>
              </w:rPr>
              <w:t xml:space="preserve">, оказания услуг по </w:t>
            </w:r>
            <w:r w:rsidRPr="00E93C8D">
              <w:rPr>
                <w:b w:val="0"/>
                <w:i w:val="0"/>
                <w:sz w:val="20"/>
                <w:lang w:val="ru-RU" w:eastAsia="ru-RU"/>
              </w:rPr>
              <w:t>Договору</w:t>
            </w:r>
            <w:r w:rsidRPr="00E93C8D">
              <w:rPr>
                <w:b w:val="0"/>
                <w:i w:val="0"/>
                <w:sz w:val="20"/>
                <w:lang w:val="ru-RU"/>
              </w:rPr>
              <w:t xml:space="preserve">, а также в целях и случаях, предусмотренных законодательством Российской Федерации (включая, помимо прочего, выполнение требований о противодействии отмыванию доходов, полученных преступным путем, осуществление финансового или валютного контроля, взыскание задолженности). Делойт обязуется обрабатывать Персональные данные, обеспечивая тот же уровень их защиты, который в соответствии с законом должен соблюдать Клиент. </w:t>
            </w:r>
          </w:p>
        </w:tc>
      </w:tr>
      <w:tr w:rsidR="00E93C8D" w:rsidRPr="009576BA" w:rsidTr="009576BA">
        <w:trPr>
          <w:gridAfter w:val="1"/>
          <w:wAfter w:w="392" w:type="dxa"/>
        </w:trPr>
        <w:tc>
          <w:tcPr>
            <w:tcW w:w="4820" w:type="dxa"/>
            <w:gridSpan w:val="2"/>
          </w:tcPr>
          <w:p w:rsidR="00CA1347" w:rsidRPr="00E93C8D" w:rsidRDefault="00CA1347" w:rsidP="00CA1347">
            <w:pPr>
              <w:pStyle w:val="1"/>
              <w:keepNext w:val="0"/>
              <w:widowControl w:val="0"/>
              <w:numPr>
                <w:ilvl w:val="0"/>
                <w:numId w:val="0"/>
              </w:numPr>
              <w:spacing w:after="120"/>
              <w:outlineLvl w:val="0"/>
              <w:rPr>
                <w:b w:val="0"/>
                <w:i w:val="0"/>
                <w:sz w:val="20"/>
                <w:highlight w:val="yellow"/>
              </w:rPr>
            </w:pPr>
            <w:r w:rsidRPr="00E93C8D">
              <w:rPr>
                <w:b w:val="0"/>
                <w:i w:val="0"/>
                <w:sz w:val="20"/>
              </w:rPr>
              <w:t xml:space="preserve">(b) The Client confirms that it has obtained all legally required authorisations to transfer any Personal Data to Deloitte and its </w:t>
            </w:r>
            <w:r w:rsidRPr="00E93C8D">
              <w:rPr>
                <w:b w:val="0"/>
                <w:i w:val="0"/>
                <w:sz w:val="20"/>
                <w:lang w:val="en-GB"/>
              </w:rPr>
              <w:t>Subcontractors</w:t>
            </w:r>
            <w:r w:rsidRPr="00E93C8D">
              <w:rPr>
                <w:b w:val="0"/>
                <w:i w:val="0"/>
                <w:sz w:val="20"/>
              </w:rPr>
              <w:t>. Upon request from Deloitte, the Client shall be obliged to present confirmation of Personal Data Subjects’ consent to processing of Personal Data.</w:t>
            </w:r>
          </w:p>
        </w:tc>
        <w:tc>
          <w:tcPr>
            <w:tcW w:w="4820" w:type="dxa"/>
            <w:gridSpan w:val="2"/>
          </w:tcPr>
          <w:p w:rsidR="00CA1347" w:rsidRPr="00E93C8D" w:rsidRDefault="00CA1347" w:rsidP="00CA1347">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b</w:t>
            </w:r>
            <w:r w:rsidRPr="00E93C8D">
              <w:rPr>
                <w:b w:val="0"/>
                <w:i w:val="0"/>
                <w:sz w:val="20"/>
                <w:lang w:val="ru-RU"/>
              </w:rPr>
              <w:t>) Клиент гарантирует Делойт, что осуществление Делойт вышеуказанных действий в отношении Персональных данных согласовано с Субъектами персональных данных. Клиент по требованию обязан предоставить Делойт доказательство получения согласия Субъектов персональных данных на обработку Персональных данных.</w:t>
            </w:r>
          </w:p>
        </w:tc>
      </w:tr>
      <w:tr w:rsidR="00E93C8D" w:rsidRPr="00E93C8D"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i w:val="0"/>
                <w:sz w:val="20"/>
              </w:rPr>
            </w:pPr>
            <w:r w:rsidRPr="00E93C8D">
              <w:rPr>
                <w:i w:val="0"/>
                <w:sz w:val="20"/>
                <w:lang w:val="ru-RU"/>
              </w:rPr>
              <w:t xml:space="preserve">20. </w:t>
            </w:r>
            <w:r w:rsidRPr="00E93C8D">
              <w:rPr>
                <w:i w:val="0"/>
                <w:sz w:val="20"/>
              </w:rPr>
              <w:t>Anti-corruption</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lang w:val="ru-RU"/>
              </w:rPr>
            </w:pPr>
            <w:r w:rsidRPr="00E93C8D">
              <w:rPr>
                <w:i w:val="0"/>
                <w:sz w:val="20"/>
              </w:rPr>
              <w:t xml:space="preserve">20. </w:t>
            </w:r>
            <w:r w:rsidRPr="00E93C8D">
              <w:rPr>
                <w:i w:val="0"/>
                <w:sz w:val="20"/>
                <w:lang w:val="ru-RU"/>
              </w:rPr>
              <w:t>Антикоррупционная оговорка</w:t>
            </w:r>
          </w:p>
        </w:tc>
      </w:tr>
      <w:tr w:rsidR="00E93C8D" w:rsidRPr="009576BA"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rPr>
            </w:pPr>
            <w:r w:rsidRPr="00E93C8D">
              <w:rPr>
                <w:b w:val="0"/>
                <w:i w:val="0"/>
                <w:sz w:val="20"/>
              </w:rPr>
              <w:t xml:space="preserve">Deloitte understands that the Client maybe subject to laws that prohibit bribery and/or providing anything of value to government officials with the intent to influence that person’s actions in respect of the Client. Deloitte may be subject to similar laws and codes of professional conduct and has its own internal policies and procedures, which prohibit illegal or unethical </w:t>
            </w:r>
            <w:r w:rsidR="000C209F" w:rsidRPr="00E93C8D">
              <w:rPr>
                <w:b w:val="0"/>
                <w:i w:val="0"/>
                <w:sz w:val="20"/>
              </w:rPr>
              <w:t>behaviors</w:t>
            </w:r>
            <w:r w:rsidRPr="00E93C8D">
              <w:rPr>
                <w:b w:val="0"/>
                <w:i w:val="0"/>
                <w:sz w:val="20"/>
              </w:rPr>
              <w:t xml:space="preserve">. In providing the Services, Deloitte undertakes not to offer, promise or give financial or other advantage to another person with the intention of inducing a person to perform improperly or to reward improper </w:t>
            </w:r>
            <w:r w:rsidR="000C209F" w:rsidRPr="00E93C8D">
              <w:rPr>
                <w:b w:val="0"/>
                <w:i w:val="0"/>
                <w:sz w:val="20"/>
              </w:rPr>
              <w:t>behavior</w:t>
            </w:r>
            <w:r w:rsidRPr="00E93C8D">
              <w:rPr>
                <w:b w:val="0"/>
                <w:i w:val="0"/>
                <w:sz w:val="20"/>
              </w:rPr>
              <w:t xml:space="preserve"> for the benefit of the Client.</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lang w:val="ru-RU"/>
              </w:rPr>
            </w:pPr>
            <w:r w:rsidRPr="00E93C8D">
              <w:rPr>
                <w:b w:val="0"/>
                <w:i w:val="0"/>
                <w:sz w:val="20"/>
                <w:lang w:val="ru-RU"/>
              </w:rPr>
              <w:t>Делойт понимает, что на Клиента может распространяться законодательство, которое запрещает взяточничество и/или предоставление чего-либо ценного государственным служащим с целью повлиять на действия данного лица в отношении Клиента. Делойт может подпадать под действия аналогичных законов или кодексов профессионального поведения и имеет собственные внутренние политики и процедуры, запрещающие противозаконное или неэтичное поведение. Предоставляя Услуги, Делойт обязуется не предлагать, обещать или передавать финансовую или иную выгоду третьим лицам с намерением воздействовать на решение данного лица вести себя недолжным образом или вознаградить недолжное поведение в интересах Клиента.</w:t>
            </w:r>
          </w:p>
        </w:tc>
      </w:tr>
      <w:tr w:rsidR="00E93C8D" w:rsidRPr="00E93C8D"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i w:val="0"/>
                <w:sz w:val="20"/>
              </w:rPr>
            </w:pPr>
            <w:r w:rsidRPr="00E93C8D">
              <w:rPr>
                <w:i w:val="0"/>
                <w:sz w:val="20"/>
                <w:lang w:val="ru-RU"/>
              </w:rPr>
              <w:t xml:space="preserve">21. </w:t>
            </w:r>
            <w:r w:rsidRPr="00E93C8D">
              <w:rPr>
                <w:i w:val="0"/>
                <w:sz w:val="20"/>
              </w:rPr>
              <w:t>Counterparts and Language</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lang w:val="ru-RU"/>
              </w:rPr>
            </w:pPr>
            <w:r w:rsidRPr="00E93C8D">
              <w:rPr>
                <w:i w:val="0"/>
                <w:sz w:val="20"/>
              </w:rPr>
              <w:t xml:space="preserve">21. </w:t>
            </w:r>
            <w:r w:rsidRPr="00E93C8D">
              <w:rPr>
                <w:i w:val="0"/>
                <w:sz w:val="20"/>
                <w:lang w:val="ru-RU"/>
              </w:rPr>
              <w:t>Экземпляры и язык Договора</w:t>
            </w:r>
          </w:p>
        </w:tc>
      </w:tr>
      <w:tr w:rsidR="00E93C8D" w:rsidRPr="009576BA"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rPr>
            </w:pPr>
            <w:r w:rsidRPr="00E93C8D">
              <w:rPr>
                <w:b w:val="0"/>
                <w:i w:val="0"/>
                <w:sz w:val="20"/>
              </w:rPr>
              <w:t>This Contract may be signed in any number of counterparts. Each signed counterpart shall be deemed to be an original thereof, but all the counterparts shall together constitute one and the same instrument. These Standard Tax Terms for Russia are executed in English and Russian. Should different interpretations arise from translation, the Russian version shall prevail.</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Этот </w:t>
            </w:r>
            <w:r w:rsidRPr="00E93C8D">
              <w:rPr>
                <w:b w:val="0"/>
                <w:i w:val="0"/>
                <w:sz w:val="20"/>
                <w:lang w:val="ru-RU" w:eastAsia="ru-RU"/>
              </w:rPr>
              <w:t>Договор</w:t>
            </w:r>
            <w:r w:rsidRPr="00E93C8D">
              <w:rPr>
                <w:b w:val="0"/>
                <w:i w:val="0"/>
                <w:sz w:val="20"/>
                <w:lang w:val="ru-RU"/>
              </w:rPr>
              <w:t xml:space="preserve"> может быть подписан в любом количестве экземпляров. Каждый подписанный экземпляр считается оригиналом </w:t>
            </w:r>
            <w:r w:rsidRPr="00E93C8D">
              <w:rPr>
                <w:b w:val="0"/>
                <w:i w:val="0"/>
                <w:sz w:val="20"/>
                <w:lang w:val="ru-RU" w:eastAsia="ru-RU"/>
              </w:rPr>
              <w:t>Договора</w:t>
            </w:r>
            <w:r w:rsidRPr="00E93C8D">
              <w:rPr>
                <w:b w:val="0"/>
                <w:i w:val="0"/>
                <w:sz w:val="20"/>
                <w:lang w:val="ru-RU"/>
              </w:rPr>
              <w:t>, однако все экземпляры вместе должны быть одним и тем же документом. Настоящие Общие Условия составлены на русском и английском языках. В случае возникновения каких-либо разночтений, версия на русском языке будет преобладать.</w:t>
            </w:r>
          </w:p>
        </w:tc>
      </w:tr>
      <w:tr w:rsidR="00E93C8D" w:rsidRPr="009576BA"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rPr>
            </w:pPr>
            <w:r w:rsidRPr="00E93C8D">
              <w:rPr>
                <w:i w:val="0"/>
                <w:sz w:val="20"/>
              </w:rPr>
              <w:t>22. Entire Agreement, Modification and Effectiveness</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lang w:val="ru-RU"/>
              </w:rPr>
            </w:pPr>
            <w:r w:rsidRPr="00E93C8D">
              <w:rPr>
                <w:i w:val="0"/>
                <w:sz w:val="20"/>
                <w:lang w:val="ru-RU"/>
              </w:rPr>
              <w:t>22. Полнота соглашения, изменения и вступление в силу</w:t>
            </w:r>
          </w:p>
        </w:tc>
      </w:tr>
      <w:tr w:rsidR="00E93C8D" w:rsidRPr="009576BA"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rPr>
            </w:pPr>
            <w:r w:rsidRPr="00E93C8D">
              <w:rPr>
                <w:b w:val="0"/>
                <w:i w:val="0"/>
                <w:sz w:val="20"/>
              </w:rPr>
              <w:t xml:space="preserve">Nothing discussed prior to </w:t>
            </w:r>
            <w:r w:rsidRPr="00E93C8D" w:rsidDel="00CE35E9">
              <w:rPr>
                <w:b w:val="0"/>
                <w:i w:val="0"/>
                <w:sz w:val="20"/>
              </w:rPr>
              <w:t xml:space="preserve">execution </w:t>
            </w:r>
            <w:r w:rsidRPr="00E93C8D">
              <w:rPr>
                <w:b w:val="0"/>
                <w:i w:val="0"/>
                <w:sz w:val="20"/>
              </w:rPr>
              <w:t xml:space="preserve">of the Contract induced, nor forms part of, the Contract except to the extent repeated in the Contract.  The Contract supersedes any previous agreement, understanding or communication, written or oral, relating to its subject matter. No variation to the Contract shall be effective unless it is documented in writing and signed by authorized representatives of both Parties, provided, </w:t>
            </w:r>
            <w:r w:rsidRPr="00E93C8D">
              <w:rPr>
                <w:b w:val="0"/>
                <w:i w:val="0"/>
                <w:sz w:val="20"/>
              </w:rPr>
              <w:lastRenderedPageBreak/>
              <w:t>however, that the scope of the Services may be changed by agreement of the Parties in writing, including by email or fax.  If Deloitte has already started work (e.g., by gathering information, project planning or giving initial advice) at the request of the Client then the Client agrees that the Contract is effective from the start of such work.</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lang w:val="ru-RU"/>
              </w:rPr>
            </w:pPr>
            <w:r w:rsidRPr="00E93C8D">
              <w:rPr>
                <w:b w:val="0"/>
                <w:i w:val="0"/>
                <w:sz w:val="20"/>
                <w:lang w:val="ru-RU"/>
              </w:rPr>
              <w:lastRenderedPageBreak/>
              <w:t xml:space="preserve">Никакие вопросы, которые обсуждались до заключения </w:t>
            </w:r>
            <w:r w:rsidRPr="00E93C8D">
              <w:rPr>
                <w:b w:val="0"/>
                <w:i w:val="0"/>
                <w:sz w:val="20"/>
                <w:lang w:val="ru-RU" w:eastAsia="ru-RU"/>
              </w:rPr>
              <w:t>Договора</w:t>
            </w:r>
            <w:r w:rsidRPr="00E93C8D">
              <w:rPr>
                <w:b w:val="0"/>
                <w:i w:val="0"/>
                <w:sz w:val="20"/>
                <w:lang w:val="ru-RU"/>
              </w:rPr>
              <w:t xml:space="preserve">, не влияют на </w:t>
            </w:r>
            <w:r w:rsidRPr="00E93C8D">
              <w:rPr>
                <w:b w:val="0"/>
                <w:i w:val="0"/>
                <w:sz w:val="20"/>
                <w:lang w:val="ru-RU" w:eastAsia="ru-RU"/>
              </w:rPr>
              <w:t>Договор</w:t>
            </w:r>
            <w:r w:rsidRPr="00E93C8D">
              <w:rPr>
                <w:b w:val="0"/>
                <w:i w:val="0"/>
                <w:sz w:val="20"/>
                <w:lang w:val="ru-RU"/>
              </w:rPr>
              <w:t xml:space="preserve"> и не являются его частью, если только такие вопросы не отражены повторно в </w:t>
            </w:r>
            <w:r w:rsidRPr="00E93C8D">
              <w:rPr>
                <w:b w:val="0"/>
                <w:i w:val="0"/>
                <w:sz w:val="20"/>
                <w:lang w:val="ru-RU" w:eastAsia="ru-RU"/>
              </w:rPr>
              <w:t>Договоре</w:t>
            </w:r>
            <w:r w:rsidRPr="00E93C8D">
              <w:rPr>
                <w:b w:val="0"/>
                <w:i w:val="0"/>
                <w:sz w:val="20"/>
                <w:lang w:val="ru-RU"/>
              </w:rPr>
              <w:t xml:space="preserve">. </w:t>
            </w:r>
            <w:r w:rsidRPr="00E93C8D">
              <w:rPr>
                <w:b w:val="0"/>
                <w:i w:val="0"/>
                <w:sz w:val="20"/>
                <w:lang w:val="ru-RU" w:eastAsia="ru-RU"/>
              </w:rPr>
              <w:t>Договор</w:t>
            </w:r>
            <w:r w:rsidRPr="00E93C8D">
              <w:rPr>
                <w:b w:val="0"/>
                <w:i w:val="0"/>
                <w:sz w:val="20"/>
                <w:lang w:val="ru-RU"/>
              </w:rPr>
              <w:t xml:space="preserve"> заменяет собой все предыдущие устные или письменные соглашения, договоренности или корреспонденцию по предмету </w:t>
            </w:r>
            <w:r w:rsidRPr="00E93C8D">
              <w:rPr>
                <w:b w:val="0"/>
                <w:i w:val="0"/>
                <w:sz w:val="20"/>
                <w:lang w:val="ru-RU" w:eastAsia="ru-RU"/>
              </w:rPr>
              <w:t>Договора</w:t>
            </w:r>
            <w:r w:rsidRPr="00E93C8D">
              <w:rPr>
                <w:b w:val="0"/>
                <w:i w:val="0"/>
                <w:sz w:val="20"/>
                <w:lang w:val="ru-RU"/>
              </w:rPr>
              <w:t xml:space="preserve">. Любые изменения </w:t>
            </w:r>
            <w:r w:rsidRPr="00E93C8D">
              <w:rPr>
                <w:b w:val="0"/>
                <w:i w:val="0"/>
                <w:sz w:val="20"/>
                <w:lang w:val="ru-RU" w:eastAsia="ru-RU"/>
              </w:rPr>
              <w:t>Договора</w:t>
            </w:r>
            <w:r w:rsidRPr="00E93C8D">
              <w:rPr>
                <w:b w:val="0"/>
                <w:i w:val="0"/>
                <w:sz w:val="20"/>
                <w:lang w:val="ru-RU"/>
              </w:rPr>
              <w:t xml:space="preserve"> оформляются в письменном виде и подписываются </w:t>
            </w:r>
            <w:r w:rsidRPr="00E93C8D">
              <w:rPr>
                <w:b w:val="0"/>
                <w:i w:val="0"/>
                <w:sz w:val="20"/>
                <w:lang w:val="ru-RU"/>
              </w:rPr>
              <w:lastRenderedPageBreak/>
              <w:t xml:space="preserve">уполномоченными представителями обеих сторон. При этом объем Услуг может быть изменен путем письменного соглашения сторон, включая сообщения, направленные по факсу или электронной почте. Если Делойт уже приступил к оказанию Услуг (в частности, к сбору информации, планированию проекта или предоставлению предварительных рекомендаций) по просьбе Клиента, Клиент согласен с тем, что </w:t>
            </w:r>
            <w:r w:rsidRPr="00E93C8D">
              <w:rPr>
                <w:b w:val="0"/>
                <w:i w:val="0"/>
                <w:sz w:val="20"/>
                <w:lang w:val="ru-RU" w:eastAsia="ru-RU"/>
              </w:rPr>
              <w:t xml:space="preserve">Договор </w:t>
            </w:r>
            <w:r w:rsidRPr="00E93C8D">
              <w:rPr>
                <w:b w:val="0"/>
                <w:i w:val="0"/>
                <w:sz w:val="20"/>
                <w:lang w:val="ru-RU"/>
              </w:rPr>
              <w:t>вступил в силу с момента начала оказания таких Услуг.</w:t>
            </w:r>
          </w:p>
        </w:tc>
      </w:tr>
      <w:tr w:rsidR="00E93C8D" w:rsidRPr="009576BA"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i w:val="0"/>
                <w:sz w:val="20"/>
              </w:rPr>
            </w:pPr>
            <w:r w:rsidRPr="00E93C8D">
              <w:rPr>
                <w:bCs/>
                <w:i w:val="0"/>
                <w:sz w:val="20"/>
              </w:rPr>
              <w:lastRenderedPageBreak/>
              <w:t xml:space="preserve">23. Survival and Interpretation </w:t>
            </w:r>
            <w:r w:rsidRPr="00E93C8D">
              <w:rPr>
                <w:i w:val="0"/>
                <w:sz w:val="20"/>
              </w:rPr>
              <w:t>and Third Party Beneficiary</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bCs/>
                <w:i w:val="0"/>
                <w:sz w:val="20"/>
                <w:lang w:val="ru-RU"/>
              </w:rPr>
            </w:pPr>
            <w:r w:rsidRPr="00E93C8D">
              <w:rPr>
                <w:bCs/>
                <w:i w:val="0"/>
                <w:sz w:val="20"/>
                <w:lang w:val="ru-RU"/>
              </w:rPr>
              <w:t>23. Срок действия и толкование положений Соглашений, третьи лица</w:t>
            </w:r>
          </w:p>
        </w:tc>
      </w:tr>
      <w:tr w:rsidR="00E93C8D" w:rsidRPr="009576BA"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rPr>
            </w:pPr>
            <w:r w:rsidRPr="00E93C8D">
              <w:rPr>
                <w:b w:val="0"/>
                <w:i w:val="0"/>
                <w:sz w:val="20"/>
              </w:rPr>
              <w:t xml:space="preserve">(a) Any provisions of the Contract which either expressly or by their nature extend beyond the expiration or termination of the Contract shall survive such expiration or termination.  </w:t>
            </w:r>
          </w:p>
        </w:tc>
        <w:tc>
          <w:tcPr>
            <w:tcW w:w="4820" w:type="dxa"/>
            <w:gridSpan w:val="2"/>
          </w:tcPr>
          <w:p w:rsidR="00C12661" w:rsidRPr="00E93C8D" w:rsidRDefault="00C12661" w:rsidP="00D1045D">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a</w:t>
            </w:r>
            <w:r w:rsidRPr="00E93C8D">
              <w:rPr>
                <w:b w:val="0"/>
                <w:i w:val="0"/>
                <w:sz w:val="20"/>
                <w:lang w:val="ru-RU"/>
              </w:rPr>
              <w:t xml:space="preserve">) Любое положение </w:t>
            </w:r>
            <w:r w:rsidRPr="00E93C8D">
              <w:rPr>
                <w:b w:val="0"/>
                <w:i w:val="0"/>
                <w:sz w:val="20"/>
                <w:lang w:val="ru-RU" w:eastAsia="ru-RU"/>
              </w:rPr>
              <w:t>Договора</w:t>
            </w:r>
            <w:r w:rsidRPr="00E93C8D">
              <w:rPr>
                <w:b w:val="0"/>
                <w:i w:val="0"/>
                <w:sz w:val="20"/>
                <w:lang w:val="ru-RU"/>
              </w:rPr>
              <w:t xml:space="preserve">, которое в силу </w:t>
            </w:r>
            <w:r w:rsidRPr="00E93C8D">
              <w:rPr>
                <w:b w:val="0"/>
                <w:i w:val="0"/>
                <w:sz w:val="20"/>
                <w:lang w:val="ru-RU" w:eastAsia="ru-RU"/>
              </w:rPr>
              <w:t>Договора</w:t>
            </w:r>
            <w:r w:rsidRPr="00E93C8D">
              <w:rPr>
                <w:b w:val="0"/>
                <w:i w:val="0"/>
                <w:sz w:val="20"/>
                <w:lang w:val="ru-RU"/>
              </w:rPr>
              <w:t xml:space="preserve"> или по своему характеру должно действовать по истечении срока действия или после досрочного </w:t>
            </w:r>
            <w:r w:rsidR="00D1045D" w:rsidRPr="00E93C8D">
              <w:rPr>
                <w:b w:val="0"/>
                <w:i w:val="0"/>
                <w:sz w:val="20"/>
                <w:lang w:val="ru-RU"/>
              </w:rPr>
              <w:t>расторжения</w:t>
            </w:r>
            <w:r w:rsidRPr="00E93C8D">
              <w:rPr>
                <w:b w:val="0"/>
                <w:i w:val="0"/>
                <w:sz w:val="20"/>
                <w:lang w:val="ru-RU"/>
              </w:rPr>
              <w:t xml:space="preserve"> </w:t>
            </w:r>
            <w:r w:rsidRPr="00E93C8D">
              <w:rPr>
                <w:b w:val="0"/>
                <w:i w:val="0"/>
                <w:sz w:val="20"/>
                <w:lang w:val="ru-RU" w:eastAsia="ru-RU"/>
              </w:rPr>
              <w:t>Договора</w:t>
            </w:r>
            <w:r w:rsidR="00D1045D" w:rsidRPr="00E93C8D">
              <w:rPr>
                <w:b w:val="0"/>
                <w:i w:val="0"/>
                <w:sz w:val="20"/>
                <w:lang w:val="ru-RU" w:eastAsia="ru-RU"/>
              </w:rPr>
              <w:t>, сохраняет силу после истечения срока действия или</w:t>
            </w:r>
            <w:r w:rsidR="00D1045D" w:rsidRPr="00E93C8D">
              <w:rPr>
                <w:b w:val="0"/>
                <w:i w:val="0"/>
                <w:sz w:val="20"/>
                <w:lang w:val="ru-RU"/>
              </w:rPr>
              <w:t xml:space="preserve"> досрочного</w:t>
            </w:r>
            <w:r w:rsidR="00D1045D" w:rsidRPr="00E93C8D">
              <w:rPr>
                <w:b w:val="0"/>
                <w:i w:val="0"/>
                <w:sz w:val="20"/>
                <w:lang w:val="ru-RU" w:eastAsia="ru-RU"/>
              </w:rPr>
              <w:t xml:space="preserve"> расторжения Договора</w:t>
            </w:r>
            <w:r w:rsidRPr="00E93C8D">
              <w:rPr>
                <w:b w:val="0"/>
                <w:i w:val="0"/>
                <w:sz w:val="20"/>
                <w:lang w:val="ru-RU"/>
              </w:rPr>
              <w:t>.</w:t>
            </w:r>
          </w:p>
        </w:tc>
      </w:tr>
      <w:tr w:rsidR="00E93C8D" w:rsidRPr="00E94258" w:rsidTr="009576BA">
        <w:trPr>
          <w:gridAfter w:val="1"/>
          <w:wAfter w:w="392" w:type="dxa"/>
        </w:trPr>
        <w:tc>
          <w:tcPr>
            <w:tcW w:w="4820" w:type="dxa"/>
            <w:gridSpan w:val="2"/>
          </w:tcPr>
          <w:p w:rsidR="00C12661" w:rsidRPr="00E93C8D" w:rsidRDefault="00C12661" w:rsidP="000C209F">
            <w:pPr>
              <w:pStyle w:val="1"/>
              <w:keepNext w:val="0"/>
              <w:widowControl w:val="0"/>
              <w:numPr>
                <w:ilvl w:val="0"/>
                <w:numId w:val="0"/>
              </w:numPr>
              <w:spacing w:after="120"/>
              <w:outlineLvl w:val="0"/>
              <w:rPr>
                <w:b w:val="0"/>
                <w:i w:val="0"/>
                <w:sz w:val="20"/>
              </w:rPr>
            </w:pPr>
            <w:r w:rsidRPr="00E93C8D">
              <w:rPr>
                <w:b w:val="0"/>
                <w:i w:val="0"/>
                <w:sz w:val="20"/>
              </w:rPr>
              <w:t>(b) If any provision of the Contract is found by a court of competent jurisdiction or other competent authorities to be unenforceable, in whole or in part such provision or the affected part shall not affect the other provisions, but such unenforceable provision shall be deemed modified to the extent necessary to render it enforceable, preserving to the fullest extent permissible the intent of the parties set forth herein. Each of the provisions of the Contract shall apply to the fullest extent of the law, whether in contract, statute, tort (including without limitation negligence), or otherwise, notwithstanding the failure of the essential purpose of any remedy. Any references herein to the term “including” shall be deemed to be followed by “without limitation”.</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b</w:t>
            </w:r>
            <w:r w:rsidRPr="00E93C8D">
              <w:rPr>
                <w:b w:val="0"/>
                <w:i w:val="0"/>
                <w:sz w:val="20"/>
                <w:lang w:val="ru-RU"/>
              </w:rPr>
              <w:t xml:space="preserve">) В случае если суд соответствующей юрисдикции или иной компетентный орган признает любое положение </w:t>
            </w:r>
            <w:r w:rsidRPr="00E93C8D">
              <w:rPr>
                <w:b w:val="0"/>
                <w:i w:val="0"/>
                <w:sz w:val="20"/>
                <w:lang w:val="ru-RU" w:eastAsia="ru-RU"/>
              </w:rPr>
              <w:t>Договора</w:t>
            </w:r>
            <w:r w:rsidRPr="00E93C8D">
              <w:rPr>
                <w:b w:val="0"/>
                <w:i w:val="0"/>
                <w:sz w:val="20"/>
                <w:lang w:val="ru-RU"/>
              </w:rPr>
              <w:t xml:space="preserve"> не имеющим законной силы в целом или в части, это не должно влиять на действительность всех прочих положений. При этом недействительное положение должно быть изменено таким образом, чтобы придать ему законную силу, сохранив при этом исходные намерения сторон в максимально возможной степени. Любое из положений </w:t>
            </w:r>
            <w:r w:rsidRPr="00E93C8D">
              <w:rPr>
                <w:b w:val="0"/>
                <w:i w:val="0"/>
                <w:sz w:val="20"/>
                <w:lang w:val="ru-RU" w:eastAsia="ru-RU"/>
              </w:rPr>
              <w:t>Договора</w:t>
            </w:r>
            <w:r w:rsidRPr="00E93C8D">
              <w:rPr>
                <w:b w:val="0"/>
                <w:i w:val="0"/>
                <w:sz w:val="20"/>
                <w:lang w:val="ru-RU"/>
              </w:rPr>
              <w:t xml:space="preserve"> применяются в максимально допустимом законодательством объеме с учетом требований, вытекающих из договора, права, деликта (например, небрежности) или иных условий, даже в тех случаях, когда средства правовой защиты не достигают своей основной цели. Любые упоминания в Договора термина «включая» подразумеваются в связке с «без ограничений».</w:t>
            </w:r>
          </w:p>
        </w:tc>
      </w:tr>
      <w:tr w:rsidR="00E93C8D" w:rsidRPr="009576BA"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rPr>
            </w:pPr>
            <w:r w:rsidRPr="00E93C8D">
              <w:rPr>
                <w:b w:val="0"/>
                <w:i w:val="0"/>
                <w:sz w:val="20"/>
              </w:rPr>
              <w:t>(c) Deloitte Entities are intended third-party beneficiaries of the Contract. Each such Deloitte Entity may in its own right enforce such terms, agreements and undertakings.</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lang w:val="ru-RU"/>
              </w:rPr>
            </w:pPr>
            <w:r w:rsidRPr="00E93C8D">
              <w:rPr>
                <w:b w:val="0"/>
                <w:i w:val="0"/>
                <w:sz w:val="20"/>
                <w:lang w:val="ru-RU"/>
              </w:rPr>
              <w:t>(</w:t>
            </w:r>
            <w:r w:rsidRPr="00E93C8D">
              <w:rPr>
                <w:b w:val="0"/>
                <w:i w:val="0"/>
                <w:sz w:val="20"/>
              </w:rPr>
              <w:t>c</w:t>
            </w:r>
            <w:r w:rsidRPr="00E93C8D">
              <w:rPr>
                <w:b w:val="0"/>
                <w:i w:val="0"/>
                <w:sz w:val="20"/>
                <w:lang w:val="ru-RU"/>
              </w:rPr>
              <w:t xml:space="preserve">) Компании Делойт являются предполагаемыми бенефициарами в отношении настоящего </w:t>
            </w:r>
            <w:r w:rsidRPr="00E93C8D">
              <w:rPr>
                <w:b w:val="0"/>
                <w:i w:val="0"/>
                <w:sz w:val="20"/>
                <w:lang w:val="ru-RU" w:eastAsia="ru-RU"/>
              </w:rPr>
              <w:t>Договора</w:t>
            </w:r>
            <w:r w:rsidRPr="00E93C8D">
              <w:rPr>
                <w:b w:val="0"/>
                <w:i w:val="0"/>
                <w:sz w:val="20"/>
                <w:lang w:val="ru-RU"/>
              </w:rPr>
              <w:t xml:space="preserve">. Каждая из Компаний Делойт вправе требовать принудительного исполнения настоящего </w:t>
            </w:r>
            <w:r w:rsidRPr="00E93C8D">
              <w:rPr>
                <w:b w:val="0"/>
                <w:i w:val="0"/>
                <w:sz w:val="20"/>
                <w:lang w:val="ru-RU" w:eastAsia="ru-RU"/>
              </w:rPr>
              <w:t>Договора</w:t>
            </w:r>
            <w:r w:rsidRPr="00E93C8D">
              <w:rPr>
                <w:b w:val="0"/>
                <w:i w:val="0"/>
                <w:sz w:val="20"/>
                <w:lang w:val="ru-RU"/>
              </w:rPr>
              <w:t>, иных соглашений и обязательств.</w:t>
            </w:r>
          </w:p>
        </w:tc>
      </w:tr>
      <w:tr w:rsidR="00E93C8D" w:rsidRPr="00E93C8D"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b w:val="0"/>
                <w:bCs/>
                <w:i w:val="0"/>
                <w:sz w:val="20"/>
              </w:rPr>
            </w:pPr>
            <w:r w:rsidRPr="00E93C8D">
              <w:rPr>
                <w:bCs/>
                <w:i w:val="0"/>
                <w:sz w:val="20"/>
              </w:rPr>
              <w:t>24. Governing Law and Submission to Jurisdiction</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bCs/>
                <w:i w:val="0"/>
                <w:sz w:val="20"/>
                <w:lang w:val="ru-RU"/>
              </w:rPr>
            </w:pPr>
            <w:r w:rsidRPr="00E93C8D">
              <w:rPr>
                <w:bCs/>
                <w:i w:val="0"/>
                <w:sz w:val="20"/>
                <w:lang w:val="ru-RU"/>
              </w:rPr>
              <w:t>24. Применимое право и юрисдикция</w:t>
            </w:r>
          </w:p>
        </w:tc>
      </w:tr>
      <w:tr w:rsidR="00E93C8D" w:rsidRPr="009576BA"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b w:val="0"/>
                <w:bCs/>
                <w:i w:val="0"/>
                <w:sz w:val="20"/>
              </w:rPr>
            </w:pPr>
            <w:r w:rsidRPr="00E93C8D">
              <w:rPr>
                <w:b w:val="0"/>
                <w:i w:val="0"/>
                <w:sz w:val="20"/>
              </w:rPr>
              <w:t xml:space="preserve">The Contract, and all matters relating to it, (including non contractual obligations) shall be governed by, and construed in accordance with, the laws of the Russian Federation (without giving effect to the choice of law principles thereof). Any action or proceeding arising out of or relating to this Contract or the Services shall be brought and maintained exclusively in the Moscow Arbitration Court. The parties hereby expressly and irrevocably (i) submit to the exclusive jurisdiction of such courts for the purposes of any such action or proceeding and (ii) waive, to the fullest extent permitted by law, any </w:t>
            </w:r>
            <w:r w:rsidR="000C209F" w:rsidRPr="00E93C8D">
              <w:rPr>
                <w:b w:val="0"/>
                <w:i w:val="0"/>
                <w:sz w:val="20"/>
              </w:rPr>
              <w:t>defense</w:t>
            </w:r>
            <w:r w:rsidRPr="00E93C8D">
              <w:rPr>
                <w:b w:val="0"/>
                <w:i w:val="0"/>
                <w:sz w:val="20"/>
              </w:rPr>
              <w:t xml:space="preserve"> of inconvenient forum to the venue and maintenance of such action in any such courts. Nothing in this Paragraph will prevent either Party, at any time before or after the dispute resolution procedures are invoked, from commencing legal proceedings to protect any intellectual property rights, trade secrets or confidential information or to preserve any legal right or remedy.</w:t>
            </w:r>
          </w:p>
        </w:tc>
        <w:tc>
          <w:tcPr>
            <w:tcW w:w="4820" w:type="dxa"/>
            <w:gridSpan w:val="2"/>
          </w:tcPr>
          <w:p w:rsidR="00C12661" w:rsidRPr="00E93C8D" w:rsidRDefault="00C12661" w:rsidP="00C12661">
            <w:pPr>
              <w:pStyle w:val="1"/>
              <w:keepNext w:val="0"/>
              <w:widowControl w:val="0"/>
              <w:numPr>
                <w:ilvl w:val="0"/>
                <w:numId w:val="0"/>
              </w:numPr>
              <w:spacing w:after="120"/>
              <w:ind w:left="28"/>
              <w:outlineLvl w:val="0"/>
              <w:rPr>
                <w:b w:val="0"/>
                <w:i w:val="0"/>
                <w:sz w:val="20"/>
                <w:lang w:val="ru-RU"/>
              </w:rPr>
            </w:pPr>
            <w:r w:rsidRPr="00E93C8D">
              <w:rPr>
                <w:b w:val="0"/>
                <w:i w:val="0"/>
                <w:sz w:val="20"/>
                <w:lang w:val="ru-RU" w:eastAsia="ru-RU"/>
              </w:rPr>
              <w:t>Договор</w:t>
            </w:r>
            <w:r w:rsidRPr="00E93C8D">
              <w:rPr>
                <w:b w:val="0"/>
                <w:i w:val="0"/>
                <w:sz w:val="20"/>
                <w:lang w:val="ru-RU"/>
              </w:rPr>
              <w:t xml:space="preserve">, а также все вопросы, относящиеся к нему (включая внедоговорные обязательства) регулируются и составлены в соответствии с законодательством Российской Федерации (без учета принципа коллизионного права). Любые иски или судебные разбирательства, возникающие по предмету Договора или в связи с Услугами, рассматриваются исключительно Арбитражным судом г. Москвы. Стороны настоящим однозначно и безоговорочно: (i) соглашаются на эксклюзивную юрисдикцию указанного суда в отношении подобных исков или разбирательств и (ii) отказываются, в максимально разрешенной законом степени, от любых возражений в отношении неприемлемости указанного суда и рассмотрение исков другими судами. Ничто в данном пункте не запрещает любой из сторон, в любой момент времени до или после начала процедур разрешения споров начать судебное разбирательство для защиты любых прав на объекты интеллектуальной собственности, коммерческой тайны или </w:t>
            </w:r>
            <w:r w:rsidRPr="00E93C8D">
              <w:rPr>
                <w:b w:val="0"/>
                <w:i w:val="0"/>
                <w:sz w:val="20"/>
                <w:lang w:val="ru-RU"/>
              </w:rPr>
              <w:lastRenderedPageBreak/>
              <w:t>конфиденциальной информации или для сохранения любого законного права или средства защиты.</w:t>
            </w:r>
          </w:p>
        </w:tc>
      </w:tr>
      <w:tr w:rsidR="00E93C8D" w:rsidRPr="00E93C8D"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i w:val="0"/>
                <w:sz w:val="20"/>
              </w:rPr>
            </w:pPr>
            <w:r w:rsidRPr="00E93C8D">
              <w:rPr>
                <w:bCs/>
                <w:i w:val="0"/>
                <w:sz w:val="20"/>
                <w:lang w:val="ru-RU"/>
              </w:rPr>
              <w:lastRenderedPageBreak/>
              <w:t xml:space="preserve">25. </w:t>
            </w:r>
            <w:r w:rsidRPr="00E93C8D">
              <w:rPr>
                <w:bCs/>
                <w:i w:val="0"/>
                <w:sz w:val="20"/>
              </w:rPr>
              <w:t>Dispute Resolution</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bCs/>
                <w:i w:val="0"/>
                <w:sz w:val="20"/>
                <w:lang w:val="ru-RU"/>
              </w:rPr>
            </w:pPr>
            <w:r w:rsidRPr="00E93C8D">
              <w:rPr>
                <w:bCs/>
                <w:i w:val="0"/>
                <w:sz w:val="20"/>
              </w:rPr>
              <w:t xml:space="preserve">25. </w:t>
            </w:r>
            <w:r w:rsidRPr="00E93C8D">
              <w:rPr>
                <w:bCs/>
                <w:i w:val="0"/>
                <w:sz w:val="20"/>
                <w:lang w:val="ru-RU"/>
              </w:rPr>
              <w:t>Разрешение споров</w:t>
            </w:r>
          </w:p>
        </w:tc>
      </w:tr>
      <w:tr w:rsidR="00E93C8D" w:rsidRPr="009576BA" w:rsidTr="009576BA">
        <w:trPr>
          <w:gridAfter w:val="1"/>
          <w:wAfter w:w="392" w:type="dxa"/>
        </w:trPr>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rPr>
            </w:pPr>
            <w:r w:rsidRPr="00E93C8D">
              <w:rPr>
                <w:b w:val="0"/>
                <w:i w:val="0"/>
                <w:sz w:val="20"/>
              </w:rPr>
              <w:t>The Parties agree to attempt in good faith to resolve any dispute or claim arising out of or in connection with the Contract promptly through negotiations between senior management.</w:t>
            </w:r>
          </w:p>
        </w:tc>
        <w:tc>
          <w:tcPr>
            <w:tcW w:w="4820" w:type="dxa"/>
            <w:gridSpan w:val="2"/>
          </w:tcPr>
          <w:p w:rsidR="00C12661" w:rsidRPr="00E93C8D" w:rsidRDefault="00C12661" w:rsidP="00C12661">
            <w:pPr>
              <w:pStyle w:val="1"/>
              <w:keepNext w:val="0"/>
              <w:widowControl w:val="0"/>
              <w:numPr>
                <w:ilvl w:val="0"/>
                <w:numId w:val="0"/>
              </w:numPr>
              <w:spacing w:after="120"/>
              <w:outlineLvl w:val="0"/>
              <w:rPr>
                <w:b w:val="0"/>
                <w:i w:val="0"/>
                <w:sz w:val="20"/>
                <w:lang w:val="ru-RU"/>
              </w:rPr>
            </w:pPr>
            <w:r w:rsidRPr="00E93C8D">
              <w:rPr>
                <w:b w:val="0"/>
                <w:i w:val="0"/>
                <w:sz w:val="20"/>
                <w:lang w:val="ru-RU"/>
              </w:rPr>
              <w:t xml:space="preserve">Стороны соглашаются незамедлительно предпринять добросовестные усилия по разрешению какого-либо спора или претензии, возникающих в связи с </w:t>
            </w:r>
            <w:r w:rsidRPr="00E93C8D">
              <w:rPr>
                <w:b w:val="0"/>
                <w:i w:val="0"/>
                <w:sz w:val="20"/>
                <w:lang w:val="ru-RU" w:eastAsia="ru-RU"/>
              </w:rPr>
              <w:t>Договором</w:t>
            </w:r>
            <w:r w:rsidRPr="00E93C8D">
              <w:rPr>
                <w:b w:val="0"/>
                <w:i w:val="0"/>
                <w:sz w:val="20"/>
                <w:lang w:val="ru-RU"/>
              </w:rPr>
              <w:t>, путем переговоров между представителями высшего руководства.</w:t>
            </w:r>
          </w:p>
        </w:tc>
      </w:tr>
    </w:tbl>
    <w:p w:rsidR="003F478E" w:rsidRPr="00E93C8D" w:rsidRDefault="003F478E" w:rsidP="003E124E">
      <w:pPr>
        <w:widowControl w:val="0"/>
        <w:rPr>
          <w:sz w:val="20"/>
          <w:lang w:val="ru-RU"/>
        </w:rPr>
      </w:pPr>
    </w:p>
    <w:tbl>
      <w:tblPr>
        <w:tblStyle w:val="af2"/>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8"/>
      </w:tblGrid>
      <w:tr w:rsidR="00E93C8D" w:rsidRPr="009576BA" w:rsidTr="009576BA">
        <w:tc>
          <w:tcPr>
            <w:tcW w:w="9748" w:type="dxa"/>
          </w:tcPr>
          <w:p w:rsidR="002D7DF9" w:rsidRPr="00E93C8D" w:rsidRDefault="002D7DF9" w:rsidP="003E124E">
            <w:pPr>
              <w:pStyle w:val="9"/>
              <w:widowControl w:val="0"/>
              <w:spacing w:before="0" w:after="0"/>
              <w:ind w:left="284" w:right="-3" w:hanging="284"/>
              <w:outlineLvl w:val="8"/>
              <w:rPr>
                <w:rFonts w:ascii="Times New Roman" w:hAnsi="Times New Roman" w:cs="Times New Roman"/>
                <w:sz w:val="20"/>
                <w:szCs w:val="20"/>
              </w:rPr>
            </w:pPr>
            <w:r w:rsidRPr="00E93C8D">
              <w:rPr>
                <w:rFonts w:ascii="Times New Roman" w:hAnsi="Times New Roman" w:cs="Times New Roman"/>
                <w:sz w:val="20"/>
                <w:szCs w:val="20"/>
              </w:rPr>
              <w:t xml:space="preserve">Signed on behalf of Deloitte / </w:t>
            </w:r>
            <w:r w:rsidRPr="00E93C8D">
              <w:rPr>
                <w:rFonts w:ascii="Times New Roman" w:hAnsi="Times New Roman" w:cs="Times New Roman"/>
                <w:sz w:val="20"/>
                <w:szCs w:val="20"/>
                <w:lang w:val="ru-RU"/>
              </w:rPr>
              <w:t>Подписано</w:t>
            </w:r>
            <w:r w:rsidRPr="00E93C8D">
              <w:rPr>
                <w:rFonts w:ascii="Times New Roman" w:hAnsi="Times New Roman" w:cs="Times New Roman"/>
                <w:sz w:val="20"/>
                <w:szCs w:val="20"/>
              </w:rPr>
              <w:t xml:space="preserve"> </w:t>
            </w:r>
            <w:r w:rsidRPr="00E93C8D">
              <w:rPr>
                <w:rFonts w:ascii="Times New Roman" w:hAnsi="Times New Roman" w:cs="Times New Roman"/>
                <w:sz w:val="20"/>
                <w:szCs w:val="20"/>
                <w:lang w:val="ru-RU"/>
              </w:rPr>
              <w:t>от</w:t>
            </w:r>
            <w:r w:rsidRPr="00E93C8D">
              <w:rPr>
                <w:rFonts w:ascii="Times New Roman" w:hAnsi="Times New Roman" w:cs="Times New Roman"/>
                <w:sz w:val="20"/>
                <w:szCs w:val="20"/>
              </w:rPr>
              <w:t xml:space="preserve"> </w:t>
            </w:r>
            <w:r w:rsidRPr="00E93C8D">
              <w:rPr>
                <w:rFonts w:ascii="Times New Roman" w:hAnsi="Times New Roman" w:cs="Times New Roman"/>
                <w:sz w:val="20"/>
                <w:szCs w:val="20"/>
                <w:lang w:val="ru-RU"/>
              </w:rPr>
              <w:t>имени</w:t>
            </w:r>
            <w:r w:rsidRPr="00E93C8D">
              <w:rPr>
                <w:rFonts w:ascii="Times New Roman" w:hAnsi="Times New Roman" w:cs="Times New Roman"/>
                <w:sz w:val="20"/>
                <w:szCs w:val="20"/>
              </w:rPr>
              <w:t xml:space="preserve"> </w:t>
            </w:r>
            <w:r w:rsidRPr="00E93C8D">
              <w:rPr>
                <w:rFonts w:ascii="Times New Roman" w:hAnsi="Times New Roman" w:cs="Times New Roman"/>
                <w:sz w:val="20"/>
                <w:szCs w:val="20"/>
                <w:lang w:val="ru-RU"/>
              </w:rPr>
              <w:t>Делойт</w:t>
            </w:r>
          </w:p>
          <w:p w:rsidR="002D7DF9" w:rsidRPr="00E93C8D" w:rsidRDefault="002D7DF9" w:rsidP="003E124E">
            <w:pPr>
              <w:pStyle w:val="Normal12"/>
              <w:widowControl w:val="0"/>
              <w:spacing w:before="0"/>
              <w:rPr>
                <w:sz w:val="20"/>
              </w:rPr>
            </w:pPr>
          </w:p>
          <w:p w:rsidR="002D7DF9" w:rsidRPr="00E93C8D" w:rsidRDefault="002D7DF9" w:rsidP="003E124E">
            <w:pPr>
              <w:pStyle w:val="Normal12"/>
              <w:widowControl w:val="0"/>
              <w:spacing w:before="0"/>
              <w:rPr>
                <w:sz w:val="20"/>
              </w:rPr>
            </w:pPr>
          </w:p>
          <w:p w:rsidR="002D7DF9" w:rsidRPr="00E93C8D" w:rsidRDefault="002D7DF9" w:rsidP="003E124E">
            <w:pPr>
              <w:pStyle w:val="Normal12"/>
              <w:widowControl w:val="0"/>
              <w:spacing w:before="0"/>
              <w:rPr>
                <w:sz w:val="20"/>
              </w:rPr>
            </w:pPr>
          </w:p>
          <w:p w:rsidR="002D7DF9" w:rsidRPr="00E93C8D" w:rsidRDefault="00D364F2" w:rsidP="003E124E">
            <w:pPr>
              <w:widowControl w:val="0"/>
              <w:rPr>
                <w:sz w:val="20"/>
              </w:rPr>
            </w:pPr>
            <w:r w:rsidRPr="00E93C8D">
              <w:rPr>
                <w:sz w:val="20"/>
              </w:rPr>
              <w:t>Silantiev Andrey</w:t>
            </w:r>
            <w:r w:rsidR="002D7DF9" w:rsidRPr="00E93C8D">
              <w:rPr>
                <w:sz w:val="20"/>
              </w:rPr>
              <w:t xml:space="preserve">, Partner, acting on the basis of the </w:t>
            </w:r>
            <w:r w:rsidRPr="00E93C8D">
              <w:rPr>
                <w:sz w:val="20"/>
              </w:rPr>
              <w:t>power of attorney dated 15 November 2016</w:t>
            </w:r>
          </w:p>
          <w:p w:rsidR="002D7DF9" w:rsidRPr="00E93C8D" w:rsidRDefault="004D46F0" w:rsidP="003E124E">
            <w:pPr>
              <w:widowControl w:val="0"/>
              <w:spacing w:line="240" w:lineRule="exact"/>
              <w:rPr>
                <w:sz w:val="20"/>
                <w:lang w:val="ru-RU"/>
              </w:rPr>
            </w:pPr>
            <w:r w:rsidRPr="00E93C8D">
              <w:rPr>
                <w:sz w:val="20"/>
                <w:lang w:val="ru-RU"/>
              </w:rPr>
              <w:t>Силанть</w:t>
            </w:r>
            <w:r w:rsidR="00D364F2" w:rsidRPr="00E93C8D">
              <w:rPr>
                <w:sz w:val="20"/>
                <w:lang w:val="ru-RU"/>
              </w:rPr>
              <w:t>ев Андрей</w:t>
            </w:r>
            <w:r w:rsidR="002D7DF9" w:rsidRPr="00E93C8D">
              <w:rPr>
                <w:sz w:val="20"/>
                <w:lang w:val="ru-RU"/>
              </w:rPr>
              <w:t>, Партнер, действующий на осн</w:t>
            </w:r>
            <w:r w:rsidR="00D364F2" w:rsidRPr="00E93C8D">
              <w:rPr>
                <w:sz w:val="20"/>
                <w:lang w:val="ru-RU"/>
              </w:rPr>
              <w:t>овании доверенности от 15 ноября 2016 г.</w:t>
            </w:r>
          </w:p>
          <w:p w:rsidR="002D7DF9" w:rsidRPr="00E93C8D" w:rsidRDefault="002D7DF9" w:rsidP="003E124E">
            <w:pPr>
              <w:widowControl w:val="0"/>
              <w:spacing w:line="240" w:lineRule="exact"/>
              <w:rPr>
                <w:sz w:val="20"/>
                <w:lang w:val="ru-RU"/>
              </w:rPr>
            </w:pPr>
          </w:p>
          <w:p w:rsidR="002D7DF9" w:rsidRPr="00E93C8D" w:rsidRDefault="002D7DF9" w:rsidP="003E124E">
            <w:pPr>
              <w:widowControl w:val="0"/>
              <w:spacing w:line="240" w:lineRule="exact"/>
              <w:rPr>
                <w:sz w:val="20"/>
                <w:lang w:val="ru-RU"/>
              </w:rPr>
            </w:pPr>
          </w:p>
        </w:tc>
      </w:tr>
      <w:tr w:rsidR="00E93C8D" w:rsidRPr="009576BA" w:rsidTr="009576BA">
        <w:tc>
          <w:tcPr>
            <w:tcW w:w="9748" w:type="dxa"/>
          </w:tcPr>
          <w:p w:rsidR="002D7DF9" w:rsidRPr="00E93C8D" w:rsidRDefault="002D7DF9" w:rsidP="003E124E">
            <w:pPr>
              <w:pStyle w:val="9"/>
              <w:widowControl w:val="0"/>
              <w:spacing w:before="0" w:after="0"/>
              <w:ind w:left="284" w:right="-3" w:hanging="284"/>
              <w:outlineLvl w:val="8"/>
              <w:rPr>
                <w:rFonts w:ascii="Times New Roman" w:hAnsi="Times New Roman" w:cs="Times New Roman"/>
                <w:sz w:val="20"/>
                <w:szCs w:val="20"/>
              </w:rPr>
            </w:pPr>
            <w:r w:rsidRPr="00E93C8D">
              <w:rPr>
                <w:rFonts w:ascii="Times New Roman" w:hAnsi="Times New Roman" w:cs="Times New Roman"/>
                <w:sz w:val="20"/>
                <w:szCs w:val="20"/>
              </w:rPr>
              <w:t xml:space="preserve">Signed on behalf of the Client / </w:t>
            </w:r>
            <w:r w:rsidRPr="00E93C8D">
              <w:rPr>
                <w:rFonts w:ascii="Times New Roman" w:hAnsi="Times New Roman" w:cs="Times New Roman"/>
                <w:sz w:val="20"/>
                <w:szCs w:val="20"/>
                <w:lang w:val="ru-RU"/>
              </w:rPr>
              <w:t>Подписано</w:t>
            </w:r>
            <w:r w:rsidRPr="00E93C8D">
              <w:rPr>
                <w:rFonts w:ascii="Times New Roman" w:hAnsi="Times New Roman" w:cs="Times New Roman"/>
                <w:sz w:val="20"/>
                <w:szCs w:val="20"/>
              </w:rPr>
              <w:t xml:space="preserve"> </w:t>
            </w:r>
            <w:r w:rsidRPr="00E93C8D">
              <w:rPr>
                <w:rFonts w:ascii="Times New Roman" w:hAnsi="Times New Roman" w:cs="Times New Roman"/>
                <w:sz w:val="20"/>
                <w:szCs w:val="20"/>
                <w:lang w:val="ru-RU"/>
              </w:rPr>
              <w:t>от</w:t>
            </w:r>
            <w:r w:rsidRPr="00E93C8D">
              <w:rPr>
                <w:rFonts w:ascii="Times New Roman" w:hAnsi="Times New Roman" w:cs="Times New Roman"/>
                <w:sz w:val="20"/>
                <w:szCs w:val="20"/>
              </w:rPr>
              <w:t xml:space="preserve"> </w:t>
            </w:r>
            <w:r w:rsidRPr="00E93C8D">
              <w:rPr>
                <w:rFonts w:ascii="Times New Roman" w:hAnsi="Times New Roman" w:cs="Times New Roman"/>
                <w:sz w:val="20"/>
                <w:szCs w:val="20"/>
                <w:lang w:val="ru-RU"/>
              </w:rPr>
              <w:t>имени</w:t>
            </w:r>
            <w:r w:rsidRPr="00E93C8D">
              <w:rPr>
                <w:rFonts w:ascii="Times New Roman" w:hAnsi="Times New Roman" w:cs="Times New Roman"/>
                <w:sz w:val="20"/>
                <w:szCs w:val="20"/>
              </w:rPr>
              <w:t xml:space="preserve"> </w:t>
            </w:r>
            <w:r w:rsidRPr="00E93C8D">
              <w:rPr>
                <w:rFonts w:ascii="Times New Roman" w:hAnsi="Times New Roman" w:cs="Times New Roman"/>
                <w:sz w:val="20"/>
                <w:szCs w:val="20"/>
                <w:lang w:val="ru-RU"/>
              </w:rPr>
              <w:t>Клиента</w:t>
            </w:r>
          </w:p>
          <w:p w:rsidR="002D7DF9" w:rsidRPr="00E93C8D" w:rsidRDefault="002D7DF9" w:rsidP="003E124E">
            <w:pPr>
              <w:widowControl w:val="0"/>
              <w:autoSpaceDE w:val="0"/>
              <w:autoSpaceDN w:val="0"/>
              <w:adjustRightInd w:val="0"/>
              <w:rPr>
                <w:sz w:val="20"/>
              </w:rPr>
            </w:pPr>
          </w:p>
          <w:p w:rsidR="002D7DF9" w:rsidRPr="00E93C8D" w:rsidRDefault="002D7DF9" w:rsidP="003E124E">
            <w:pPr>
              <w:widowControl w:val="0"/>
              <w:autoSpaceDE w:val="0"/>
              <w:autoSpaceDN w:val="0"/>
              <w:adjustRightInd w:val="0"/>
              <w:rPr>
                <w:sz w:val="20"/>
              </w:rPr>
            </w:pPr>
          </w:p>
          <w:p w:rsidR="002D7DF9" w:rsidRPr="00E93C8D" w:rsidRDefault="002D7DF9" w:rsidP="003E124E">
            <w:pPr>
              <w:widowControl w:val="0"/>
              <w:autoSpaceDE w:val="0"/>
              <w:autoSpaceDN w:val="0"/>
              <w:adjustRightInd w:val="0"/>
              <w:rPr>
                <w:sz w:val="20"/>
              </w:rPr>
            </w:pPr>
          </w:p>
          <w:p w:rsidR="002D7DF9" w:rsidRPr="009576BA" w:rsidRDefault="009576BA" w:rsidP="009576BA">
            <w:pPr>
              <w:widowControl w:val="0"/>
              <w:ind w:right="-154"/>
              <w:jc w:val="left"/>
              <w:rPr>
                <w:sz w:val="20"/>
              </w:rPr>
            </w:pPr>
            <w:r w:rsidRPr="009576BA">
              <w:rPr>
                <w:sz w:val="20"/>
              </w:rPr>
              <w:t>Director for legal support – head of legal services group of companies PJSC "NCSP" Borovok E.V.</w:t>
            </w:r>
            <w:r w:rsidR="002D7DF9" w:rsidRPr="00E93C8D">
              <w:rPr>
                <w:sz w:val="20"/>
              </w:rPr>
              <w:t xml:space="preserve">, acting </w:t>
            </w:r>
            <w:r>
              <w:rPr>
                <w:sz w:val="20"/>
              </w:rPr>
              <w:t>on the basis</w:t>
            </w:r>
            <w:r w:rsidRPr="009576BA">
              <w:rPr>
                <w:sz w:val="20"/>
              </w:rPr>
              <w:t xml:space="preserve"> of the power of attorney № 2110-07/424  dated 25.12.2015</w:t>
            </w:r>
          </w:p>
          <w:p w:rsidR="002D7DF9" w:rsidRPr="00E93C8D" w:rsidRDefault="00AB0A1F" w:rsidP="009576BA">
            <w:pPr>
              <w:widowControl w:val="0"/>
              <w:ind w:right="851"/>
              <w:rPr>
                <w:sz w:val="20"/>
                <w:lang w:val="ru-RU"/>
              </w:rPr>
            </w:pPr>
            <w:r w:rsidRPr="00E93C8D">
              <w:rPr>
                <w:sz w:val="20"/>
                <w:lang w:val="ru-RU"/>
              </w:rPr>
              <w:t xml:space="preserve">Директор по правовому обеспечению – руководитель юридических служб группы компаний ПАО «НМТП» Боровок Эдуард Валерьевич, </w:t>
            </w:r>
            <w:r w:rsidR="002D7DF9" w:rsidRPr="00E93C8D">
              <w:rPr>
                <w:sz w:val="20"/>
                <w:lang w:val="ru-RU"/>
              </w:rPr>
              <w:t>действующ</w:t>
            </w:r>
            <w:r w:rsidR="009576BA">
              <w:rPr>
                <w:sz w:val="20"/>
                <w:lang w:val="ru-RU"/>
              </w:rPr>
              <w:t>ий</w:t>
            </w:r>
            <w:r w:rsidR="002D7DF9" w:rsidRPr="00E93C8D">
              <w:rPr>
                <w:sz w:val="20"/>
                <w:lang w:val="ru-RU"/>
              </w:rPr>
              <w:t xml:space="preserve"> на основании </w:t>
            </w:r>
            <w:r w:rsidRPr="00E93C8D">
              <w:rPr>
                <w:sz w:val="20"/>
                <w:lang w:val="ru-RU"/>
              </w:rPr>
              <w:t xml:space="preserve">Доверенности № 2110-07/424 от 25.12.2015 года </w:t>
            </w:r>
          </w:p>
        </w:tc>
      </w:tr>
    </w:tbl>
    <w:p w:rsidR="00467E4F" w:rsidRPr="00E93C8D" w:rsidRDefault="00467E4F">
      <w:pPr>
        <w:jc w:val="left"/>
        <w:rPr>
          <w:sz w:val="20"/>
          <w:lang w:val="ru-RU"/>
        </w:rPr>
        <w:sectPr w:rsidR="00467E4F" w:rsidRPr="00E93C8D" w:rsidSect="008E31E8">
          <w:footerReference w:type="even" r:id="rId14"/>
          <w:footerReference w:type="default" r:id="rId15"/>
          <w:headerReference w:type="first" r:id="rId16"/>
          <w:footerReference w:type="first" r:id="rId17"/>
          <w:pgSz w:w="11906" w:h="16838" w:code="9"/>
          <w:pgMar w:top="720" w:right="1134" w:bottom="1134" w:left="1418" w:header="720" w:footer="210" w:gutter="0"/>
          <w:pgNumType w:start="1"/>
          <w:cols w:space="720"/>
          <w:docGrid w:linePitch="360"/>
        </w:sectPr>
      </w:pPr>
    </w:p>
    <w:tbl>
      <w:tblPr>
        <w:tblW w:w="9674" w:type="dxa"/>
        <w:tblInd w:w="-318" w:type="dxa"/>
        <w:tblLayout w:type="fixed"/>
        <w:tblLook w:val="01E0" w:firstRow="1" w:lastRow="1" w:firstColumn="1" w:lastColumn="1" w:noHBand="0" w:noVBand="0"/>
      </w:tblPr>
      <w:tblGrid>
        <w:gridCol w:w="4821"/>
        <w:gridCol w:w="4853"/>
      </w:tblGrid>
      <w:tr w:rsidR="00E93C8D" w:rsidRPr="009576BA" w:rsidTr="008E31E8">
        <w:trPr>
          <w:trHeight w:val="960"/>
        </w:trPr>
        <w:tc>
          <w:tcPr>
            <w:tcW w:w="4821" w:type="dxa"/>
            <w:shd w:val="clear" w:color="auto" w:fill="auto"/>
          </w:tcPr>
          <w:p w:rsidR="0075791D" w:rsidRPr="00E93C8D" w:rsidRDefault="0075791D" w:rsidP="0075791D">
            <w:pPr>
              <w:spacing w:after="120"/>
              <w:contextualSpacing/>
              <w:rPr>
                <w:bCs/>
                <w:sz w:val="20"/>
              </w:rPr>
            </w:pPr>
            <w:r w:rsidRPr="00E93C8D">
              <w:rPr>
                <w:bCs/>
                <w:sz w:val="20"/>
              </w:rPr>
              <w:lastRenderedPageBreak/>
              <w:t>STRICTLY CONFIDENTIAL</w:t>
            </w:r>
          </w:p>
          <w:p w:rsidR="0075791D" w:rsidRPr="00E93C8D" w:rsidRDefault="0075791D" w:rsidP="0075791D">
            <w:pPr>
              <w:spacing w:after="120"/>
              <w:contextualSpacing/>
              <w:rPr>
                <w:bCs/>
                <w:sz w:val="20"/>
              </w:rPr>
            </w:pPr>
            <w:r w:rsidRPr="00E93C8D">
              <w:rPr>
                <w:bCs/>
                <w:sz w:val="20"/>
              </w:rPr>
              <w:t>“Deloitte Consulting” LLC</w:t>
            </w:r>
          </w:p>
          <w:p w:rsidR="0075791D" w:rsidRPr="00E93C8D" w:rsidRDefault="0075791D" w:rsidP="0075791D">
            <w:pPr>
              <w:spacing w:after="120"/>
              <w:contextualSpacing/>
              <w:rPr>
                <w:bCs/>
                <w:sz w:val="20"/>
              </w:rPr>
            </w:pPr>
            <w:r w:rsidRPr="00E93C8D">
              <w:rPr>
                <w:bCs/>
                <w:sz w:val="20"/>
              </w:rPr>
              <w:t>5 Lesnaya St., Moscow, 125047, Russia</w:t>
            </w:r>
          </w:p>
        </w:tc>
        <w:tc>
          <w:tcPr>
            <w:tcW w:w="4853" w:type="dxa"/>
          </w:tcPr>
          <w:p w:rsidR="0075791D" w:rsidRPr="00E93C8D" w:rsidRDefault="0075791D" w:rsidP="0075791D">
            <w:pPr>
              <w:autoSpaceDE w:val="0"/>
              <w:autoSpaceDN w:val="0"/>
              <w:spacing w:after="120"/>
              <w:contextualSpacing/>
              <w:rPr>
                <w:bCs/>
                <w:sz w:val="20"/>
                <w:lang w:val="ru-RU"/>
              </w:rPr>
            </w:pPr>
            <w:r w:rsidRPr="00E93C8D">
              <w:rPr>
                <w:bCs/>
                <w:sz w:val="20"/>
                <w:lang w:val="ru-RU"/>
              </w:rPr>
              <w:t>КОММЕРЧЕСКАЯ ТАЙНА</w:t>
            </w:r>
          </w:p>
          <w:p w:rsidR="0075791D" w:rsidRPr="00E93C8D" w:rsidRDefault="0075791D" w:rsidP="0075791D">
            <w:pPr>
              <w:autoSpaceDE w:val="0"/>
              <w:autoSpaceDN w:val="0"/>
              <w:spacing w:after="120"/>
              <w:contextualSpacing/>
              <w:rPr>
                <w:bCs/>
                <w:sz w:val="20"/>
                <w:lang w:val="ru-RU"/>
              </w:rPr>
            </w:pPr>
            <w:r w:rsidRPr="00E93C8D">
              <w:rPr>
                <w:bCs/>
                <w:sz w:val="20"/>
                <w:lang w:val="ru-RU"/>
              </w:rPr>
              <w:t>ООО «Делойт Консалтинг»</w:t>
            </w:r>
          </w:p>
          <w:p w:rsidR="0075791D" w:rsidRPr="00E93C8D" w:rsidRDefault="0075791D" w:rsidP="0075791D">
            <w:pPr>
              <w:autoSpaceDE w:val="0"/>
              <w:autoSpaceDN w:val="0"/>
              <w:spacing w:after="120"/>
              <w:contextualSpacing/>
              <w:rPr>
                <w:bCs/>
                <w:sz w:val="20"/>
                <w:lang w:val="ru-RU"/>
              </w:rPr>
            </w:pPr>
            <w:r w:rsidRPr="00E93C8D">
              <w:rPr>
                <w:bCs/>
                <w:sz w:val="20"/>
                <w:lang w:val="ru-RU"/>
              </w:rPr>
              <w:t>ул. Лесная, д.5, Москва, 125047, Россия</w:t>
            </w:r>
          </w:p>
        </w:tc>
      </w:tr>
      <w:tr w:rsidR="00E93C8D" w:rsidRPr="009576BA" w:rsidTr="008E31E8">
        <w:trPr>
          <w:trHeight w:val="960"/>
        </w:trPr>
        <w:tc>
          <w:tcPr>
            <w:tcW w:w="4821" w:type="dxa"/>
          </w:tcPr>
          <w:p w:rsidR="0075791D" w:rsidRPr="00E93C8D" w:rsidRDefault="00D364F2" w:rsidP="0075791D">
            <w:pPr>
              <w:widowControl w:val="0"/>
              <w:spacing w:after="120"/>
              <w:contextualSpacing/>
              <w:jc w:val="left"/>
              <w:rPr>
                <w:b/>
                <w:bCs/>
                <w:sz w:val="20"/>
              </w:rPr>
            </w:pPr>
            <w:r w:rsidRPr="00E93C8D">
              <w:rPr>
                <w:b/>
                <w:bCs/>
                <w:sz w:val="20"/>
              </w:rPr>
              <w:t>ADDENDUM NO. 1</w:t>
            </w:r>
            <w:r w:rsidR="0075791D" w:rsidRPr="00E93C8D">
              <w:rPr>
                <w:b/>
                <w:bCs/>
                <w:sz w:val="20"/>
              </w:rPr>
              <w:t xml:space="preserve"> </w:t>
            </w:r>
          </w:p>
          <w:p w:rsidR="0075791D" w:rsidRPr="00E93C8D" w:rsidRDefault="0075791D" w:rsidP="0075791D">
            <w:pPr>
              <w:widowControl w:val="0"/>
              <w:spacing w:after="120"/>
              <w:contextualSpacing/>
              <w:jc w:val="left"/>
              <w:rPr>
                <w:b/>
                <w:bCs/>
                <w:sz w:val="20"/>
              </w:rPr>
            </w:pPr>
          </w:p>
          <w:p w:rsidR="0075791D" w:rsidRPr="00E93C8D" w:rsidRDefault="0075791D" w:rsidP="0075791D">
            <w:pPr>
              <w:widowControl w:val="0"/>
              <w:spacing w:after="120"/>
              <w:contextualSpacing/>
              <w:jc w:val="left"/>
              <w:rPr>
                <w:bCs/>
                <w:sz w:val="20"/>
              </w:rPr>
            </w:pPr>
            <w:r w:rsidRPr="00E93C8D">
              <w:rPr>
                <w:bCs/>
                <w:sz w:val="20"/>
              </w:rPr>
              <w:t>t</w:t>
            </w:r>
            <w:r w:rsidRPr="00E93C8D">
              <w:rPr>
                <w:bCs/>
                <w:sz w:val="20"/>
                <w:lang w:val="ru-RU"/>
              </w:rPr>
              <w:t>о</w:t>
            </w:r>
            <w:r w:rsidR="001B1AF7" w:rsidRPr="00E93C8D">
              <w:rPr>
                <w:bCs/>
                <w:sz w:val="20"/>
              </w:rPr>
              <w:t xml:space="preserve"> Engagement letter № Tax/2016/43236 dated 21 December 2016</w:t>
            </w:r>
          </w:p>
          <w:p w:rsidR="0075791D" w:rsidRPr="00E93C8D" w:rsidRDefault="0075791D" w:rsidP="0075791D">
            <w:pPr>
              <w:widowControl w:val="0"/>
              <w:spacing w:after="120"/>
              <w:contextualSpacing/>
              <w:jc w:val="left"/>
              <w:rPr>
                <w:sz w:val="20"/>
                <w:lang w:eastAsia="ru-RU"/>
              </w:rPr>
            </w:pPr>
          </w:p>
        </w:tc>
        <w:tc>
          <w:tcPr>
            <w:tcW w:w="4853" w:type="dxa"/>
          </w:tcPr>
          <w:p w:rsidR="0075791D" w:rsidRPr="00E93C8D" w:rsidRDefault="00D364F2" w:rsidP="0075791D">
            <w:pPr>
              <w:widowControl w:val="0"/>
              <w:autoSpaceDE w:val="0"/>
              <w:autoSpaceDN w:val="0"/>
              <w:spacing w:after="120"/>
              <w:contextualSpacing/>
              <w:jc w:val="left"/>
              <w:rPr>
                <w:b/>
                <w:bCs/>
                <w:sz w:val="20"/>
                <w:lang w:val="ru-RU"/>
              </w:rPr>
            </w:pPr>
            <w:r w:rsidRPr="00E93C8D">
              <w:rPr>
                <w:b/>
                <w:bCs/>
                <w:sz w:val="20"/>
                <w:lang w:val="ru-RU"/>
              </w:rPr>
              <w:t>ДОПОЛНИТЕЛЬНОЕ СОГЛАШЕНИЕ № 1</w:t>
            </w:r>
          </w:p>
          <w:p w:rsidR="0075791D" w:rsidRPr="00E93C8D" w:rsidRDefault="0075791D" w:rsidP="0075791D">
            <w:pPr>
              <w:widowControl w:val="0"/>
              <w:autoSpaceDE w:val="0"/>
              <w:autoSpaceDN w:val="0"/>
              <w:spacing w:after="120"/>
              <w:contextualSpacing/>
              <w:jc w:val="left"/>
              <w:rPr>
                <w:b/>
                <w:bCs/>
                <w:sz w:val="20"/>
                <w:lang w:val="ru-RU"/>
              </w:rPr>
            </w:pPr>
          </w:p>
          <w:p w:rsidR="0075791D" w:rsidRPr="00E93C8D" w:rsidRDefault="001B1AF7" w:rsidP="0075791D">
            <w:pPr>
              <w:widowControl w:val="0"/>
              <w:autoSpaceDE w:val="0"/>
              <w:autoSpaceDN w:val="0"/>
              <w:spacing w:after="120"/>
              <w:contextualSpacing/>
              <w:jc w:val="left"/>
              <w:rPr>
                <w:bCs/>
                <w:sz w:val="20"/>
                <w:lang w:val="ru-RU"/>
              </w:rPr>
            </w:pPr>
            <w:r w:rsidRPr="00E93C8D">
              <w:rPr>
                <w:bCs/>
                <w:sz w:val="20"/>
                <w:lang w:val="ru-RU"/>
              </w:rPr>
              <w:t xml:space="preserve">к Соглашению № </w:t>
            </w:r>
            <w:r w:rsidRPr="00E93C8D">
              <w:rPr>
                <w:bCs/>
                <w:sz w:val="20"/>
              </w:rPr>
              <w:t>Tax</w:t>
            </w:r>
            <w:r w:rsidRPr="00E93C8D">
              <w:rPr>
                <w:bCs/>
                <w:sz w:val="20"/>
                <w:lang w:val="ru-RU"/>
              </w:rPr>
              <w:t>/2016/43236 от 21 декабря 2016 г.</w:t>
            </w:r>
          </w:p>
          <w:p w:rsidR="0075791D" w:rsidRPr="00E93C8D" w:rsidRDefault="0075791D" w:rsidP="0075791D">
            <w:pPr>
              <w:widowControl w:val="0"/>
              <w:autoSpaceDE w:val="0"/>
              <w:autoSpaceDN w:val="0"/>
              <w:spacing w:after="120"/>
              <w:contextualSpacing/>
              <w:jc w:val="left"/>
              <w:rPr>
                <w:bCs/>
                <w:sz w:val="20"/>
                <w:lang w:val="ru-RU" w:eastAsia="ru-RU"/>
              </w:rPr>
            </w:pPr>
          </w:p>
        </w:tc>
      </w:tr>
      <w:tr w:rsidR="00E93C8D" w:rsidRPr="00E93C8D" w:rsidTr="008E31E8">
        <w:tc>
          <w:tcPr>
            <w:tcW w:w="4821" w:type="dxa"/>
          </w:tcPr>
          <w:p w:rsidR="0075791D" w:rsidRPr="00E93C8D" w:rsidRDefault="001B1AF7" w:rsidP="0075791D">
            <w:pPr>
              <w:widowControl w:val="0"/>
              <w:autoSpaceDE w:val="0"/>
              <w:autoSpaceDN w:val="0"/>
              <w:spacing w:after="120"/>
              <w:contextualSpacing/>
              <w:rPr>
                <w:sz w:val="20"/>
                <w:lang w:val="en-GB"/>
              </w:rPr>
            </w:pPr>
            <w:r w:rsidRPr="00E93C8D">
              <w:rPr>
                <w:sz w:val="20"/>
                <w:lang w:val="en-GB"/>
              </w:rPr>
              <w:t>"21" December</w:t>
            </w:r>
            <w:r w:rsidR="0075791D" w:rsidRPr="00E93C8D">
              <w:rPr>
                <w:sz w:val="20"/>
                <w:lang w:val="en-GB"/>
              </w:rPr>
              <w:t xml:space="preserve"> 20</w:t>
            </w:r>
            <w:r w:rsidRPr="00E93C8D">
              <w:rPr>
                <w:sz w:val="20"/>
                <w:lang w:val="en-GB"/>
              </w:rPr>
              <w:t>16</w:t>
            </w:r>
          </w:p>
          <w:p w:rsidR="0075791D" w:rsidRPr="00E93C8D" w:rsidRDefault="0075791D" w:rsidP="0075791D">
            <w:pPr>
              <w:widowControl w:val="0"/>
              <w:autoSpaceDE w:val="0"/>
              <w:autoSpaceDN w:val="0"/>
              <w:spacing w:before="240" w:after="120"/>
              <w:contextualSpacing/>
              <w:rPr>
                <w:sz w:val="20"/>
                <w:lang w:val="en-GB" w:eastAsia="ru-RU"/>
              </w:rPr>
            </w:pPr>
          </w:p>
        </w:tc>
        <w:tc>
          <w:tcPr>
            <w:tcW w:w="4853" w:type="dxa"/>
          </w:tcPr>
          <w:p w:rsidR="0075791D" w:rsidRPr="00E93C8D" w:rsidRDefault="001B1AF7" w:rsidP="0075791D">
            <w:pPr>
              <w:widowControl w:val="0"/>
              <w:autoSpaceDE w:val="0"/>
              <w:autoSpaceDN w:val="0"/>
              <w:spacing w:before="240" w:after="120"/>
              <w:contextualSpacing/>
              <w:rPr>
                <w:sz w:val="20"/>
                <w:lang w:eastAsia="ru-RU"/>
              </w:rPr>
            </w:pPr>
            <w:r w:rsidRPr="00E93C8D">
              <w:rPr>
                <w:sz w:val="20"/>
                <w:lang w:val="en-GB"/>
              </w:rPr>
              <w:t xml:space="preserve">«21» декабря </w:t>
            </w:r>
            <w:r w:rsidR="0075791D" w:rsidRPr="00E93C8D">
              <w:rPr>
                <w:sz w:val="20"/>
                <w:lang w:val="en-GB"/>
              </w:rPr>
              <w:t>20</w:t>
            </w:r>
            <w:r w:rsidRPr="00E93C8D">
              <w:rPr>
                <w:sz w:val="20"/>
              </w:rPr>
              <w:t>16</w:t>
            </w:r>
            <w:r w:rsidR="0075791D" w:rsidRPr="00E93C8D">
              <w:rPr>
                <w:sz w:val="20"/>
              </w:rPr>
              <w:t xml:space="preserve"> </w:t>
            </w:r>
            <w:r w:rsidR="0075791D" w:rsidRPr="00E93C8D">
              <w:rPr>
                <w:sz w:val="20"/>
                <w:lang w:val="ru-RU"/>
              </w:rPr>
              <w:t>г</w:t>
            </w:r>
            <w:r w:rsidR="0075791D" w:rsidRPr="00E93C8D">
              <w:rPr>
                <w:sz w:val="20"/>
              </w:rPr>
              <w:t>.</w:t>
            </w:r>
          </w:p>
        </w:tc>
      </w:tr>
      <w:tr w:rsidR="00E93C8D" w:rsidRPr="009576BA" w:rsidTr="008E31E8">
        <w:tc>
          <w:tcPr>
            <w:tcW w:w="4821" w:type="dxa"/>
          </w:tcPr>
          <w:p w:rsidR="0075791D" w:rsidRPr="00E93C8D" w:rsidRDefault="0075791D" w:rsidP="000943D5">
            <w:pPr>
              <w:autoSpaceDE w:val="0"/>
              <w:autoSpaceDN w:val="0"/>
              <w:spacing w:after="120"/>
              <w:rPr>
                <w:sz w:val="20"/>
                <w:lang w:val="en-GB"/>
              </w:rPr>
            </w:pPr>
            <w:r w:rsidRPr="00E93C8D">
              <w:rPr>
                <w:b/>
                <w:sz w:val="20"/>
                <w:lang w:val="en-GB"/>
              </w:rPr>
              <w:t>“Deloitte Consulting” LLC</w:t>
            </w:r>
            <w:r w:rsidRPr="00E93C8D">
              <w:rPr>
                <w:sz w:val="20"/>
                <w:lang w:val="en-GB"/>
              </w:rPr>
              <w:t xml:space="preserve">, legal entity duly incorporated and existing under the laws of Russia (“Deloitte”), and </w:t>
            </w:r>
          </w:p>
        </w:tc>
        <w:tc>
          <w:tcPr>
            <w:tcW w:w="4853" w:type="dxa"/>
          </w:tcPr>
          <w:p w:rsidR="0075791D" w:rsidRPr="00E93C8D" w:rsidRDefault="0075791D" w:rsidP="0075791D">
            <w:pPr>
              <w:autoSpaceDE w:val="0"/>
              <w:autoSpaceDN w:val="0"/>
              <w:spacing w:after="120"/>
              <w:rPr>
                <w:rFonts w:eastAsia="Arial Unicode MS"/>
                <w:sz w:val="20"/>
                <w:lang w:val="ru-RU"/>
              </w:rPr>
            </w:pPr>
            <w:r w:rsidRPr="00E93C8D">
              <w:rPr>
                <w:rFonts w:eastAsia="Arial Unicode MS"/>
                <w:b/>
                <w:sz w:val="20"/>
                <w:lang w:val="ru-RU"/>
              </w:rPr>
              <w:t>ООО «Делойт Консалтинг»</w:t>
            </w:r>
            <w:r w:rsidRPr="00E93C8D">
              <w:rPr>
                <w:rFonts w:eastAsia="Arial Unicode MS"/>
                <w:sz w:val="20"/>
                <w:lang w:val="ru-RU"/>
              </w:rPr>
              <w:t xml:space="preserve">, юридическое лицо, созданное и действующее в соответствии с законодательством России («Делойт») и </w:t>
            </w:r>
          </w:p>
        </w:tc>
      </w:tr>
    </w:tbl>
    <w:tbl>
      <w:tblPr>
        <w:tblStyle w:val="TableGrid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70" w:type="dxa"/>
          <w:bottom w:w="113" w:type="dxa"/>
          <w:right w:w="170" w:type="dxa"/>
        </w:tblCellMar>
        <w:tblLook w:val="04A0" w:firstRow="1" w:lastRow="0" w:firstColumn="1" w:lastColumn="0" w:noHBand="0" w:noVBand="1"/>
      </w:tblPr>
      <w:tblGrid>
        <w:gridCol w:w="4820"/>
        <w:gridCol w:w="4820"/>
      </w:tblGrid>
      <w:tr w:rsidR="00E93C8D" w:rsidRPr="009576BA" w:rsidTr="008E31E8">
        <w:tc>
          <w:tcPr>
            <w:tcW w:w="4820" w:type="dxa"/>
          </w:tcPr>
          <w:p w:rsidR="00C312D8" w:rsidRPr="00C312D8" w:rsidRDefault="001B1AF7" w:rsidP="00C312D8">
            <w:pPr>
              <w:widowControl w:val="0"/>
              <w:spacing w:after="120"/>
              <w:ind w:left="-28"/>
              <w:jc w:val="left"/>
              <w:rPr>
                <w:sz w:val="20"/>
                <w:lang w:eastAsia="ru-RU"/>
              </w:rPr>
            </w:pPr>
            <w:r w:rsidRPr="00E93C8D">
              <w:rPr>
                <w:b/>
                <w:sz w:val="20"/>
              </w:rPr>
              <w:t>“NOVOROSSIYSK COMMERCIAL SEA PORT”, PJSC</w:t>
            </w:r>
            <w:r w:rsidR="0075791D" w:rsidRPr="00E93C8D">
              <w:rPr>
                <w:sz w:val="20"/>
                <w:lang w:eastAsia="ru-RU"/>
              </w:rPr>
              <w:t xml:space="preserve">, a legal entity duly incorporated and existing under the laws of  </w:t>
            </w:r>
            <w:r w:rsidRPr="00E93C8D">
              <w:rPr>
                <w:b/>
                <w:sz w:val="20"/>
                <w:lang w:eastAsia="ru-RU"/>
              </w:rPr>
              <w:t>Russian Federation</w:t>
            </w:r>
            <w:r w:rsidR="0075791D" w:rsidRPr="00E93C8D">
              <w:rPr>
                <w:sz w:val="20"/>
                <w:lang w:eastAsia="ru-RU"/>
              </w:rPr>
              <w:t xml:space="preserve"> (the “</w:t>
            </w:r>
            <w:r w:rsidR="0075791D" w:rsidRPr="00E93C8D">
              <w:rPr>
                <w:b/>
                <w:sz w:val="20"/>
                <w:lang w:eastAsia="ru-RU"/>
              </w:rPr>
              <w:t>Client”</w:t>
            </w:r>
            <w:r w:rsidR="0075791D" w:rsidRPr="00E93C8D">
              <w:rPr>
                <w:sz w:val="20"/>
                <w:lang w:eastAsia="ru-RU"/>
              </w:rPr>
              <w:t xml:space="preserve">), represented by </w:t>
            </w:r>
            <w:r w:rsidR="00C312D8" w:rsidRPr="00C312D8">
              <w:rPr>
                <w:sz w:val="20"/>
                <w:lang w:eastAsia="ru-RU"/>
              </w:rPr>
              <w:t>Director for legal support – head of legal services group of companies PJSC "NCSP" Borovok E.V., acting on the basis of the power of attorney № 2110-07/424  dated 25.12.2015</w:t>
            </w:r>
            <w:r w:rsidR="00C312D8">
              <w:rPr>
                <w:sz w:val="20"/>
                <w:lang w:eastAsia="ru-RU"/>
              </w:rPr>
              <w:t>,</w:t>
            </w:r>
          </w:p>
          <w:p w:rsidR="0075791D" w:rsidRPr="00E93C8D" w:rsidRDefault="0075791D" w:rsidP="0075791D">
            <w:pPr>
              <w:widowControl w:val="0"/>
              <w:spacing w:after="120"/>
              <w:ind w:left="-28"/>
              <w:jc w:val="left"/>
              <w:rPr>
                <w:rFonts w:eastAsia="MS Mincho"/>
                <w:sz w:val="20"/>
                <w:lang w:eastAsia="ru-RU"/>
              </w:rPr>
            </w:pPr>
          </w:p>
        </w:tc>
        <w:tc>
          <w:tcPr>
            <w:tcW w:w="4820" w:type="dxa"/>
          </w:tcPr>
          <w:p w:rsidR="0075791D" w:rsidRPr="00E93C8D" w:rsidRDefault="001B1AF7" w:rsidP="001B1AF7">
            <w:pPr>
              <w:widowControl w:val="0"/>
              <w:spacing w:after="120"/>
              <w:ind w:left="-28"/>
              <w:jc w:val="left"/>
              <w:rPr>
                <w:rFonts w:eastAsia="MS Mincho"/>
                <w:sz w:val="20"/>
                <w:lang w:val="ru-RU" w:eastAsia="ru-RU"/>
              </w:rPr>
            </w:pPr>
            <w:r w:rsidRPr="00E93C8D">
              <w:rPr>
                <w:rFonts w:eastAsia="MS Mincho"/>
                <w:b/>
                <w:sz w:val="20"/>
                <w:lang w:val="ru-RU" w:eastAsia="ru-RU"/>
              </w:rPr>
              <w:t>ПАО «НОВОРОССИЙСКИЙ МОРСКОЙ ТОРГОВЫЙ ПОРТ»</w:t>
            </w:r>
            <w:r w:rsidR="0075791D" w:rsidRPr="00E93C8D">
              <w:rPr>
                <w:rFonts w:eastAsia="MS Mincho"/>
                <w:sz w:val="20"/>
                <w:lang w:val="ru-RU" w:eastAsia="ru-RU"/>
              </w:rPr>
              <w:t xml:space="preserve">, юридическое лицо, созданное и действующее в соответствии с законодательством </w:t>
            </w:r>
            <w:r w:rsidRPr="00E93C8D">
              <w:rPr>
                <w:rFonts w:eastAsia="MS Mincho"/>
                <w:b/>
                <w:sz w:val="20"/>
                <w:lang w:val="ru-RU" w:eastAsia="ru-RU"/>
              </w:rPr>
              <w:t>Российской Федерации</w:t>
            </w:r>
            <w:r w:rsidR="0075791D" w:rsidRPr="00E93C8D">
              <w:rPr>
                <w:rFonts w:eastAsia="MS Mincho"/>
                <w:sz w:val="20"/>
                <w:lang w:val="ru-RU" w:eastAsia="ru-RU"/>
              </w:rPr>
              <w:t xml:space="preserve"> («</w:t>
            </w:r>
            <w:r w:rsidR="0075791D" w:rsidRPr="00E93C8D">
              <w:rPr>
                <w:rFonts w:eastAsia="MS Mincho"/>
                <w:b/>
                <w:sz w:val="20"/>
                <w:lang w:val="ru-RU" w:eastAsia="ru-RU"/>
              </w:rPr>
              <w:t>Клиент</w:t>
            </w:r>
            <w:r w:rsidR="0075791D" w:rsidRPr="00E93C8D">
              <w:rPr>
                <w:rFonts w:eastAsia="MS Mincho"/>
                <w:sz w:val="20"/>
                <w:lang w:val="ru-RU" w:eastAsia="ru-RU"/>
              </w:rPr>
              <w:t>»)</w:t>
            </w:r>
            <w:r w:rsidR="0075791D" w:rsidRPr="00E93C8D">
              <w:rPr>
                <w:rFonts w:eastAsia="MS Mincho"/>
                <w:sz w:val="20"/>
                <w:lang w:val="ru-RU" w:eastAsia="ja-JP"/>
              </w:rPr>
              <w:t xml:space="preserve"> </w:t>
            </w:r>
            <w:r w:rsidR="0075791D" w:rsidRPr="00E93C8D">
              <w:rPr>
                <w:rFonts w:eastAsia="MS Mincho"/>
                <w:sz w:val="20"/>
                <w:lang w:val="ru-RU" w:eastAsia="ru-RU"/>
              </w:rPr>
              <w:t xml:space="preserve">в лице </w:t>
            </w:r>
            <w:r w:rsidR="00AB0A1F" w:rsidRPr="00E93C8D">
              <w:rPr>
                <w:rFonts w:eastAsia="MS Mincho"/>
                <w:sz w:val="20"/>
                <w:lang w:val="ru-RU" w:eastAsia="ja-JP"/>
              </w:rPr>
              <w:t>Директора по правовому обеспечению – руководителя юридических служб группы компаний ПАО «НМТП» Боровка Эдуарда Валерьевича,  действующего на основании Доверенности № 2110-07/424 от 25.12.2015 года</w:t>
            </w:r>
            <w:r w:rsidR="0075791D" w:rsidRPr="00E93C8D">
              <w:rPr>
                <w:rFonts w:eastAsia="MS Mincho"/>
                <w:sz w:val="20"/>
                <w:lang w:val="ru-RU" w:eastAsia="ru-RU"/>
              </w:rPr>
              <w:t xml:space="preserve">, </w:t>
            </w:r>
          </w:p>
        </w:tc>
      </w:tr>
    </w:tbl>
    <w:tbl>
      <w:tblPr>
        <w:tblW w:w="9674" w:type="dxa"/>
        <w:tblInd w:w="-318" w:type="dxa"/>
        <w:tblLayout w:type="fixed"/>
        <w:tblLook w:val="01E0" w:firstRow="1" w:lastRow="1" w:firstColumn="1" w:lastColumn="1" w:noHBand="0" w:noVBand="0"/>
      </w:tblPr>
      <w:tblGrid>
        <w:gridCol w:w="34"/>
        <w:gridCol w:w="4787"/>
        <w:gridCol w:w="33"/>
        <w:gridCol w:w="4820"/>
      </w:tblGrid>
      <w:tr w:rsidR="00E93C8D" w:rsidRPr="009576BA" w:rsidTr="008E31E8">
        <w:trPr>
          <w:gridBefore w:val="1"/>
          <w:wBefore w:w="34" w:type="dxa"/>
        </w:trPr>
        <w:tc>
          <w:tcPr>
            <w:tcW w:w="4820" w:type="dxa"/>
            <w:gridSpan w:val="2"/>
          </w:tcPr>
          <w:p w:rsidR="0075791D" w:rsidRPr="00E93C8D" w:rsidRDefault="0075791D" w:rsidP="0075791D">
            <w:pPr>
              <w:widowControl w:val="0"/>
              <w:tabs>
                <w:tab w:val="left" w:pos="193"/>
              </w:tabs>
              <w:autoSpaceDE w:val="0"/>
              <w:autoSpaceDN w:val="0"/>
              <w:adjustRightInd w:val="0"/>
              <w:spacing w:after="120"/>
              <w:jc w:val="left"/>
              <w:rPr>
                <w:sz w:val="20"/>
                <w:lang w:eastAsia="ru-RU"/>
              </w:rPr>
            </w:pPr>
            <w:r w:rsidRPr="00E93C8D">
              <w:rPr>
                <w:sz w:val="20"/>
                <w:lang w:eastAsia="ru-RU"/>
              </w:rPr>
              <w:t>individually referred to as a "Party" and collectively as the "Parties",</w:t>
            </w:r>
          </w:p>
        </w:tc>
        <w:tc>
          <w:tcPr>
            <w:tcW w:w="4820" w:type="dxa"/>
          </w:tcPr>
          <w:p w:rsidR="0075791D" w:rsidRPr="00E93C8D" w:rsidRDefault="0075791D" w:rsidP="0075791D">
            <w:pPr>
              <w:widowControl w:val="0"/>
              <w:autoSpaceDE w:val="0"/>
              <w:autoSpaceDN w:val="0"/>
              <w:adjustRightInd w:val="0"/>
              <w:spacing w:after="120"/>
              <w:jc w:val="left"/>
              <w:rPr>
                <w:rFonts w:eastAsia="MS Mincho"/>
                <w:sz w:val="20"/>
                <w:lang w:val="ru-RU" w:eastAsia="ru-RU"/>
              </w:rPr>
            </w:pPr>
            <w:r w:rsidRPr="00E93C8D">
              <w:rPr>
                <w:rFonts w:eastAsia="MS Mincho"/>
                <w:sz w:val="20"/>
                <w:lang w:val="ru-RU" w:eastAsia="ru-RU"/>
              </w:rPr>
              <w:t>отдельно именуемые «Сторона», а совместно – «Стороны»,</w:t>
            </w:r>
          </w:p>
        </w:tc>
      </w:tr>
      <w:tr w:rsidR="00E93C8D" w:rsidRPr="00E93C8D" w:rsidTr="008E31E8">
        <w:trPr>
          <w:gridBefore w:val="1"/>
          <w:wBefore w:w="34" w:type="dxa"/>
        </w:trPr>
        <w:tc>
          <w:tcPr>
            <w:tcW w:w="4820" w:type="dxa"/>
            <w:gridSpan w:val="2"/>
          </w:tcPr>
          <w:p w:rsidR="0075791D" w:rsidRPr="00E93C8D" w:rsidRDefault="0075791D" w:rsidP="001B1AF7">
            <w:pPr>
              <w:widowControl w:val="0"/>
              <w:tabs>
                <w:tab w:val="left" w:pos="193"/>
              </w:tabs>
              <w:autoSpaceDE w:val="0"/>
              <w:autoSpaceDN w:val="0"/>
              <w:adjustRightInd w:val="0"/>
              <w:spacing w:after="120"/>
              <w:jc w:val="left"/>
              <w:rPr>
                <w:sz w:val="20"/>
                <w:lang w:eastAsia="ru-RU"/>
              </w:rPr>
            </w:pPr>
            <w:r w:rsidRPr="00E93C8D">
              <w:rPr>
                <w:sz w:val="20"/>
                <w:lang w:eastAsia="ru-RU"/>
              </w:rPr>
              <w:t>have ent</w:t>
            </w:r>
            <w:r w:rsidR="001B1AF7" w:rsidRPr="00E93C8D">
              <w:rPr>
                <w:sz w:val="20"/>
                <w:lang w:eastAsia="ru-RU"/>
              </w:rPr>
              <w:t>ered into this Addendum No. 1</w:t>
            </w:r>
            <w:r w:rsidRPr="00E93C8D">
              <w:rPr>
                <w:sz w:val="20"/>
                <w:lang w:eastAsia="ru-RU"/>
              </w:rPr>
              <w:t xml:space="preserve"> (the "Addendum") to the Engagement letter No. </w:t>
            </w:r>
            <w:r w:rsidR="001B1AF7" w:rsidRPr="00E93C8D">
              <w:rPr>
                <w:bCs/>
                <w:sz w:val="20"/>
              </w:rPr>
              <w:t xml:space="preserve">Tax/2016/43236 </w:t>
            </w:r>
            <w:r w:rsidR="001B1AF7" w:rsidRPr="00E93C8D">
              <w:rPr>
                <w:sz w:val="20"/>
                <w:lang w:eastAsia="ru-RU"/>
              </w:rPr>
              <w:t>as of 21 December 2016</w:t>
            </w:r>
            <w:r w:rsidRPr="00E93C8D">
              <w:rPr>
                <w:sz w:val="20"/>
                <w:lang w:eastAsia="ru-RU"/>
              </w:rPr>
              <w:t xml:space="preserve"> (the “Engagement letter”) as follows:</w:t>
            </w:r>
          </w:p>
        </w:tc>
        <w:tc>
          <w:tcPr>
            <w:tcW w:w="4820" w:type="dxa"/>
          </w:tcPr>
          <w:p w:rsidR="0075791D" w:rsidRPr="00E93C8D" w:rsidRDefault="0075791D" w:rsidP="0075791D">
            <w:pPr>
              <w:widowControl w:val="0"/>
              <w:autoSpaceDE w:val="0"/>
              <w:autoSpaceDN w:val="0"/>
              <w:adjustRightInd w:val="0"/>
              <w:spacing w:after="120"/>
              <w:jc w:val="left"/>
              <w:rPr>
                <w:rFonts w:eastAsia="MS Mincho"/>
                <w:sz w:val="20"/>
                <w:lang w:eastAsia="ru-RU"/>
              </w:rPr>
            </w:pPr>
            <w:r w:rsidRPr="00E93C8D">
              <w:rPr>
                <w:rFonts w:eastAsia="MS Mincho"/>
                <w:sz w:val="20"/>
                <w:lang w:val="ru-RU" w:eastAsia="ru-RU"/>
              </w:rPr>
              <w:t>заключили настоящее Дополнительное соглашение</w:t>
            </w:r>
            <w:r w:rsidR="001B1AF7" w:rsidRPr="00E93C8D">
              <w:rPr>
                <w:rFonts w:eastAsia="MS Mincho"/>
                <w:sz w:val="20"/>
                <w:lang w:val="ru-RU" w:eastAsia="ru-RU"/>
              </w:rPr>
              <w:t xml:space="preserve"> № 1</w:t>
            </w:r>
            <w:r w:rsidRPr="00E93C8D">
              <w:rPr>
                <w:rFonts w:eastAsia="MS Mincho"/>
                <w:sz w:val="20"/>
                <w:lang w:val="ru-RU" w:eastAsia="ru-RU"/>
              </w:rPr>
              <w:t xml:space="preserve"> ("Дополнительное соглашение") к Соглашению </w:t>
            </w:r>
            <w:r w:rsidR="001B1AF7" w:rsidRPr="00E93C8D">
              <w:rPr>
                <w:rFonts w:eastAsia="MS Mincho"/>
                <w:sz w:val="20"/>
                <w:lang w:eastAsia="ru-RU"/>
              </w:rPr>
              <w:t xml:space="preserve">№ </w:t>
            </w:r>
            <w:r w:rsidR="001B1AF7" w:rsidRPr="00E93C8D">
              <w:rPr>
                <w:bCs/>
                <w:sz w:val="20"/>
              </w:rPr>
              <w:t>Tax/2016/43236</w:t>
            </w:r>
            <w:r w:rsidR="001B1AF7" w:rsidRPr="00E93C8D">
              <w:rPr>
                <w:rFonts w:eastAsia="MS Mincho"/>
                <w:sz w:val="20"/>
                <w:lang w:eastAsia="ru-RU"/>
              </w:rPr>
              <w:t xml:space="preserve"> </w:t>
            </w:r>
            <w:r w:rsidR="001B1AF7" w:rsidRPr="00E93C8D">
              <w:rPr>
                <w:rFonts w:eastAsia="MS Mincho"/>
                <w:sz w:val="20"/>
                <w:lang w:val="ru-RU" w:eastAsia="ru-RU"/>
              </w:rPr>
              <w:t>от</w:t>
            </w:r>
            <w:r w:rsidR="001B1AF7" w:rsidRPr="00E93C8D">
              <w:rPr>
                <w:rFonts w:eastAsia="MS Mincho"/>
                <w:sz w:val="20"/>
                <w:lang w:eastAsia="ru-RU"/>
              </w:rPr>
              <w:t xml:space="preserve"> 21 </w:t>
            </w:r>
            <w:r w:rsidR="001B1AF7" w:rsidRPr="00E93C8D">
              <w:rPr>
                <w:rFonts w:eastAsia="MS Mincho"/>
                <w:sz w:val="20"/>
                <w:lang w:val="ru-RU" w:eastAsia="ru-RU"/>
              </w:rPr>
              <w:t>декабря</w:t>
            </w:r>
            <w:r w:rsidR="001B1AF7" w:rsidRPr="00E93C8D">
              <w:rPr>
                <w:rFonts w:eastAsia="MS Mincho"/>
                <w:sz w:val="20"/>
                <w:lang w:eastAsia="ru-RU"/>
              </w:rPr>
              <w:t xml:space="preserve"> 2016 </w:t>
            </w:r>
            <w:r w:rsidR="001B1AF7" w:rsidRPr="00E93C8D">
              <w:rPr>
                <w:rFonts w:eastAsia="MS Mincho"/>
                <w:sz w:val="20"/>
                <w:lang w:val="ru-RU" w:eastAsia="ru-RU"/>
              </w:rPr>
              <w:t>г</w:t>
            </w:r>
            <w:r w:rsidR="001B1AF7" w:rsidRPr="00E93C8D">
              <w:rPr>
                <w:rFonts w:eastAsia="MS Mincho"/>
                <w:sz w:val="20"/>
                <w:lang w:eastAsia="ru-RU"/>
              </w:rPr>
              <w:t>.</w:t>
            </w:r>
            <w:r w:rsidRPr="00E93C8D">
              <w:rPr>
                <w:rFonts w:eastAsia="MS Mincho"/>
                <w:sz w:val="20"/>
                <w:lang w:eastAsia="ru-RU"/>
              </w:rPr>
              <w:t xml:space="preserve"> («</w:t>
            </w:r>
            <w:r w:rsidRPr="00E93C8D">
              <w:rPr>
                <w:rFonts w:eastAsia="MS Mincho"/>
                <w:sz w:val="20"/>
                <w:lang w:val="ru-RU" w:eastAsia="ru-RU"/>
              </w:rPr>
              <w:t>Соглашение</w:t>
            </w:r>
            <w:r w:rsidRPr="00E93C8D">
              <w:rPr>
                <w:rFonts w:eastAsia="MS Mincho"/>
                <w:sz w:val="20"/>
                <w:lang w:eastAsia="ru-RU"/>
              </w:rPr>
              <w:t xml:space="preserve">») </w:t>
            </w:r>
            <w:r w:rsidRPr="00E93C8D">
              <w:rPr>
                <w:rFonts w:eastAsia="MS Mincho"/>
                <w:sz w:val="20"/>
                <w:lang w:val="ru-RU" w:eastAsia="ru-RU"/>
              </w:rPr>
              <w:t>о</w:t>
            </w:r>
            <w:r w:rsidRPr="00E93C8D">
              <w:rPr>
                <w:rFonts w:eastAsia="MS Mincho"/>
                <w:sz w:val="20"/>
                <w:lang w:eastAsia="ru-RU"/>
              </w:rPr>
              <w:t xml:space="preserve"> </w:t>
            </w:r>
            <w:r w:rsidRPr="00E93C8D">
              <w:rPr>
                <w:rFonts w:eastAsia="MS Mincho"/>
                <w:sz w:val="20"/>
                <w:lang w:val="ru-RU" w:eastAsia="ru-RU"/>
              </w:rPr>
              <w:t>нижеследующем</w:t>
            </w:r>
            <w:r w:rsidRPr="00E93C8D">
              <w:rPr>
                <w:rFonts w:eastAsia="MS Mincho"/>
                <w:sz w:val="20"/>
                <w:lang w:eastAsia="ru-RU"/>
              </w:rPr>
              <w:t>:</w:t>
            </w:r>
          </w:p>
        </w:tc>
      </w:tr>
      <w:tr w:rsidR="00E93C8D" w:rsidRPr="009576BA" w:rsidTr="008E31E8">
        <w:tc>
          <w:tcPr>
            <w:tcW w:w="4821" w:type="dxa"/>
            <w:gridSpan w:val="2"/>
          </w:tcPr>
          <w:p w:rsidR="0075791D" w:rsidRPr="00E93C8D" w:rsidRDefault="0075791D" w:rsidP="0075791D">
            <w:pPr>
              <w:widowControl w:val="0"/>
              <w:autoSpaceDE w:val="0"/>
              <w:autoSpaceDN w:val="0"/>
              <w:adjustRightInd w:val="0"/>
              <w:spacing w:after="120"/>
              <w:jc w:val="left"/>
              <w:rPr>
                <w:sz w:val="20"/>
                <w:lang w:eastAsia="ru-RU"/>
              </w:rPr>
            </w:pPr>
            <w:r w:rsidRPr="00E93C8D">
              <w:rPr>
                <w:b/>
                <w:sz w:val="20"/>
                <w:lang w:eastAsia="ru-RU"/>
              </w:rPr>
              <w:t>1.</w:t>
            </w:r>
            <w:r w:rsidRPr="00E93C8D">
              <w:rPr>
                <w:sz w:val="20"/>
                <w:lang w:eastAsia="ru-RU"/>
              </w:rPr>
              <w:t xml:space="preserve"> The Client hereby assigns to Deloitte, and Deloitte hereby undertakes to render the following services (the “Services”):</w:t>
            </w:r>
          </w:p>
          <w:p w:rsidR="004D46F0" w:rsidRPr="00E93C8D" w:rsidRDefault="004D46F0" w:rsidP="0075791D">
            <w:pPr>
              <w:widowControl w:val="0"/>
              <w:autoSpaceDE w:val="0"/>
              <w:autoSpaceDN w:val="0"/>
              <w:adjustRightInd w:val="0"/>
              <w:spacing w:after="120"/>
              <w:jc w:val="left"/>
              <w:rPr>
                <w:sz w:val="20"/>
                <w:lang w:eastAsia="ru-RU"/>
              </w:rPr>
            </w:pPr>
            <w:r w:rsidRPr="00E93C8D">
              <w:rPr>
                <w:sz w:val="20"/>
                <w:lang w:eastAsia="ru-RU"/>
              </w:rPr>
              <w:t xml:space="preserve">Consulting services on draft agreement between the Client and JSC «Fleet NCSP»: </w:t>
            </w:r>
          </w:p>
          <w:p w:rsidR="0075791D" w:rsidRPr="00E93C8D" w:rsidRDefault="00F12035" w:rsidP="001B1AF7">
            <w:pPr>
              <w:widowControl w:val="0"/>
              <w:numPr>
                <w:ilvl w:val="0"/>
                <w:numId w:val="2"/>
              </w:numPr>
              <w:autoSpaceDE w:val="0"/>
              <w:autoSpaceDN w:val="0"/>
              <w:adjustRightInd w:val="0"/>
              <w:spacing w:after="120"/>
              <w:jc w:val="left"/>
              <w:rPr>
                <w:sz w:val="20"/>
                <w:lang w:eastAsia="ru-RU"/>
              </w:rPr>
            </w:pPr>
            <w:r w:rsidRPr="00E93C8D">
              <w:rPr>
                <w:sz w:val="20"/>
                <w:lang w:eastAsia="ru-RU"/>
              </w:rPr>
              <w:t>Analysis of p</w:t>
            </w:r>
            <w:r w:rsidR="004D46F0" w:rsidRPr="00E93C8D">
              <w:rPr>
                <w:sz w:val="20"/>
                <w:lang w:eastAsia="ru-RU"/>
              </w:rPr>
              <w:t>rofits tax</w:t>
            </w:r>
            <w:r w:rsidR="001B1AF7" w:rsidRPr="00E93C8D">
              <w:rPr>
                <w:sz w:val="20"/>
                <w:lang w:eastAsia="ru-RU"/>
              </w:rPr>
              <w:t xml:space="preserve"> </w:t>
            </w:r>
            <w:r w:rsidRPr="00E93C8D">
              <w:rPr>
                <w:sz w:val="20"/>
                <w:lang w:eastAsia="ru-RU"/>
              </w:rPr>
              <w:t>issues</w:t>
            </w:r>
            <w:r w:rsidR="001B1AF7" w:rsidRPr="00E93C8D">
              <w:rPr>
                <w:sz w:val="20"/>
                <w:lang w:eastAsia="ru-RU"/>
              </w:rPr>
              <w:t xml:space="preserve"> in terms of the economic </w:t>
            </w:r>
            <w:r w:rsidR="004D46F0" w:rsidRPr="00E93C8D">
              <w:rPr>
                <w:sz w:val="20"/>
                <w:lang w:eastAsia="ru-RU"/>
              </w:rPr>
              <w:t>justification, documentary support</w:t>
            </w:r>
            <w:r w:rsidRPr="00E93C8D">
              <w:rPr>
                <w:sz w:val="20"/>
                <w:lang w:eastAsia="ru-RU"/>
              </w:rPr>
              <w:t>, and application of the transfer pricing legislation</w:t>
            </w:r>
            <w:r w:rsidR="0075791D" w:rsidRPr="00E93C8D">
              <w:rPr>
                <w:sz w:val="20"/>
                <w:lang w:eastAsia="ru-RU"/>
              </w:rPr>
              <w:t>;</w:t>
            </w:r>
            <w:r w:rsidR="001E2EFE" w:rsidRPr="001E2EFE">
              <w:rPr>
                <w:sz w:val="20"/>
                <w:lang w:eastAsia="ru-RU"/>
              </w:rPr>
              <w:t xml:space="preserve"> </w:t>
            </w:r>
            <w:r w:rsidR="001E2EFE" w:rsidRPr="001E2EFE">
              <w:rPr>
                <w:sz w:val="20"/>
                <w:lang w:val="en" w:eastAsia="ru-RU"/>
              </w:rPr>
              <w:t>Providing recommendations to reduce the associated risks.</w:t>
            </w:r>
          </w:p>
          <w:p w:rsidR="001B1AF7" w:rsidRPr="00E93C8D" w:rsidRDefault="00F12035" w:rsidP="00F12035">
            <w:pPr>
              <w:widowControl w:val="0"/>
              <w:numPr>
                <w:ilvl w:val="0"/>
                <w:numId w:val="2"/>
              </w:numPr>
              <w:autoSpaceDE w:val="0"/>
              <w:autoSpaceDN w:val="0"/>
              <w:adjustRightInd w:val="0"/>
              <w:spacing w:after="120"/>
              <w:jc w:val="left"/>
              <w:rPr>
                <w:sz w:val="20"/>
                <w:lang w:eastAsia="ru-RU"/>
              </w:rPr>
            </w:pPr>
            <w:r w:rsidRPr="00E93C8D">
              <w:rPr>
                <w:sz w:val="20"/>
                <w:lang w:eastAsia="ru-RU"/>
              </w:rPr>
              <w:t>Analysis of VAT issues, including p</w:t>
            </w:r>
            <w:r w:rsidR="001B1AF7" w:rsidRPr="00E93C8D">
              <w:rPr>
                <w:sz w:val="20"/>
                <w:lang w:eastAsia="ru-RU"/>
              </w:rPr>
              <w:t xml:space="preserve">ossibility of using </w:t>
            </w:r>
            <w:r w:rsidR="00EB5E45" w:rsidRPr="00E93C8D">
              <w:rPr>
                <w:sz w:val="20"/>
                <w:lang w:eastAsia="ru-RU"/>
              </w:rPr>
              <w:t xml:space="preserve">the 0% VAT rate with regard to cargo handling services, in case of inclusion in the tariff for transshipment cost of the services listed in paragraph 4.1 (V) of the </w:t>
            </w:r>
            <w:r w:rsidRPr="00E93C8D">
              <w:rPr>
                <w:sz w:val="20"/>
                <w:lang w:eastAsia="ru-RU"/>
              </w:rPr>
              <w:t xml:space="preserve">draft agreement between the Client </w:t>
            </w:r>
            <w:r w:rsidR="00EB5E45" w:rsidRPr="00E93C8D">
              <w:rPr>
                <w:sz w:val="20"/>
                <w:lang w:eastAsia="ru-RU"/>
              </w:rPr>
              <w:t xml:space="preserve">and </w:t>
            </w:r>
            <w:r w:rsidRPr="00E93C8D">
              <w:rPr>
                <w:sz w:val="20"/>
                <w:lang w:eastAsia="ru-RU"/>
              </w:rPr>
              <w:t xml:space="preserve">JSC «Fleet NCSP» </w:t>
            </w:r>
            <w:r w:rsidR="00EB5E45" w:rsidRPr="00E93C8D">
              <w:rPr>
                <w:sz w:val="20"/>
                <w:lang w:eastAsia="ru-RU"/>
              </w:rPr>
              <w:t>(</w:t>
            </w:r>
            <w:r w:rsidRPr="00E93C8D">
              <w:rPr>
                <w:sz w:val="20"/>
                <w:lang w:eastAsia="ru-RU"/>
              </w:rPr>
              <w:t xml:space="preserve">ship </w:t>
            </w:r>
            <w:r w:rsidR="00EB5E45" w:rsidRPr="00E93C8D">
              <w:rPr>
                <w:sz w:val="20"/>
                <w:lang w:eastAsia="ru-RU"/>
              </w:rPr>
              <w:t xml:space="preserve">mooring, unmooring, etc.), as well as risk assessment </w:t>
            </w:r>
            <w:r w:rsidR="00122615" w:rsidRPr="00E93C8D">
              <w:rPr>
                <w:sz w:val="20"/>
                <w:lang w:eastAsia="ru-RU"/>
              </w:rPr>
              <w:t>of VAT recovery related to services</w:t>
            </w:r>
            <w:r w:rsidR="001E2EFE" w:rsidRPr="001E2EFE">
              <w:rPr>
                <w:sz w:val="20"/>
                <w:lang w:eastAsia="ru-RU"/>
              </w:rPr>
              <w:t xml:space="preserve"> </w:t>
            </w:r>
            <w:r w:rsidR="001E2EFE">
              <w:rPr>
                <w:sz w:val="20"/>
                <w:lang w:eastAsia="ru-RU"/>
              </w:rPr>
              <w:t>for</w:t>
            </w:r>
            <w:r w:rsidR="001E2EFE" w:rsidRPr="001E2EFE">
              <w:rPr>
                <w:sz w:val="20"/>
                <w:lang w:val="en" w:eastAsia="ru-RU"/>
              </w:rPr>
              <w:t xml:space="preserve"> </w:t>
            </w:r>
            <w:r w:rsidR="001E2EFE">
              <w:rPr>
                <w:sz w:val="20"/>
                <w:lang w:val="en" w:eastAsia="ru-RU"/>
              </w:rPr>
              <w:t>C</w:t>
            </w:r>
            <w:r w:rsidR="00C862BE">
              <w:rPr>
                <w:sz w:val="20"/>
                <w:lang w:val="en" w:eastAsia="ru-RU"/>
              </w:rPr>
              <w:t>lient</w:t>
            </w:r>
            <w:r w:rsidR="001E2EFE" w:rsidRPr="001E2EFE">
              <w:rPr>
                <w:sz w:val="20"/>
                <w:lang w:val="en" w:eastAsia="ru-RU"/>
              </w:rPr>
              <w:t>. Provide recommendations (if any) for risk reduction opportunities.</w:t>
            </w:r>
          </w:p>
          <w:p w:rsidR="0075791D" w:rsidRPr="00E93C8D" w:rsidRDefault="00122615" w:rsidP="004D46F0">
            <w:pPr>
              <w:widowControl w:val="0"/>
              <w:numPr>
                <w:ilvl w:val="0"/>
                <w:numId w:val="2"/>
              </w:numPr>
              <w:autoSpaceDE w:val="0"/>
              <w:autoSpaceDN w:val="0"/>
              <w:adjustRightInd w:val="0"/>
              <w:spacing w:after="120"/>
              <w:jc w:val="left"/>
              <w:rPr>
                <w:sz w:val="20"/>
                <w:lang w:val="en-GB" w:eastAsia="ru-RU"/>
              </w:rPr>
            </w:pPr>
            <w:r w:rsidRPr="00E93C8D">
              <w:rPr>
                <w:sz w:val="20"/>
                <w:lang w:eastAsia="ru-RU"/>
              </w:rPr>
              <w:t>Analysis of legal issues</w:t>
            </w:r>
            <w:r w:rsidR="00EB5E45" w:rsidRPr="00E93C8D">
              <w:rPr>
                <w:sz w:val="20"/>
                <w:lang w:eastAsia="ru-RU"/>
              </w:rPr>
              <w:t xml:space="preserve"> arising from the Russian antimonopoly legislation.</w:t>
            </w:r>
          </w:p>
        </w:tc>
        <w:tc>
          <w:tcPr>
            <w:tcW w:w="4853" w:type="dxa"/>
            <w:gridSpan w:val="2"/>
          </w:tcPr>
          <w:p w:rsidR="004D46F0" w:rsidRPr="00E93C8D" w:rsidRDefault="0075791D" w:rsidP="0075791D">
            <w:pPr>
              <w:widowControl w:val="0"/>
              <w:autoSpaceDE w:val="0"/>
              <w:autoSpaceDN w:val="0"/>
              <w:adjustRightInd w:val="0"/>
              <w:spacing w:after="120"/>
              <w:jc w:val="left"/>
              <w:rPr>
                <w:sz w:val="20"/>
                <w:lang w:val="ru-RU" w:eastAsia="ru-RU"/>
              </w:rPr>
            </w:pPr>
            <w:r w:rsidRPr="00E93C8D">
              <w:rPr>
                <w:b/>
                <w:sz w:val="20"/>
                <w:lang w:val="ru-RU" w:eastAsia="ru-RU"/>
              </w:rPr>
              <w:t>1.</w:t>
            </w:r>
            <w:r w:rsidRPr="00E93C8D">
              <w:rPr>
                <w:sz w:val="20"/>
                <w:lang w:val="ru-RU" w:eastAsia="ru-RU"/>
              </w:rPr>
              <w:t xml:space="preserve"> Клиент настоящим уполномочивает Делойт, а Делойт настоящим обязуется </w:t>
            </w:r>
            <w:r w:rsidR="00E93C8D" w:rsidRPr="00E93C8D">
              <w:rPr>
                <w:sz w:val="20"/>
                <w:lang w:val="ru-RU" w:eastAsia="ru-RU"/>
              </w:rPr>
              <w:t xml:space="preserve">в срок до 30 декабря 2016 года </w:t>
            </w:r>
            <w:r w:rsidRPr="00E93C8D">
              <w:rPr>
                <w:sz w:val="20"/>
                <w:lang w:val="ru-RU" w:eastAsia="ru-RU"/>
              </w:rPr>
              <w:t>предоставить Клиенту следующие услуги («Услуги»):</w:t>
            </w:r>
          </w:p>
          <w:p w:rsidR="004D46F0" w:rsidRPr="00E93C8D" w:rsidRDefault="00BA14D8" w:rsidP="0075791D">
            <w:pPr>
              <w:widowControl w:val="0"/>
              <w:autoSpaceDE w:val="0"/>
              <w:autoSpaceDN w:val="0"/>
              <w:adjustRightInd w:val="0"/>
              <w:spacing w:after="120"/>
              <w:jc w:val="left"/>
              <w:rPr>
                <w:sz w:val="20"/>
                <w:lang w:val="ru-RU" w:eastAsia="ru-RU"/>
              </w:rPr>
            </w:pPr>
            <w:r w:rsidRPr="00E93C8D">
              <w:rPr>
                <w:sz w:val="20"/>
                <w:lang w:val="ru-RU" w:eastAsia="ru-RU"/>
              </w:rPr>
              <w:t>Налоговые и юридические комментарии по вопросам, свяазнным с заключением договора на комплексное оказание услуг между ПАО «НМТП» и АО «ФлотНМТП»</w:t>
            </w:r>
            <w:r w:rsidR="004D46F0" w:rsidRPr="00E93C8D">
              <w:rPr>
                <w:sz w:val="20"/>
                <w:lang w:val="ru-RU" w:eastAsia="ru-RU"/>
              </w:rPr>
              <w:t>:</w:t>
            </w:r>
          </w:p>
          <w:p w:rsidR="0075791D" w:rsidRPr="00E93C8D" w:rsidRDefault="004D46F0" w:rsidP="0091496B">
            <w:pPr>
              <w:widowControl w:val="0"/>
              <w:numPr>
                <w:ilvl w:val="0"/>
                <w:numId w:val="7"/>
              </w:numPr>
              <w:autoSpaceDE w:val="0"/>
              <w:autoSpaceDN w:val="0"/>
              <w:adjustRightInd w:val="0"/>
              <w:spacing w:after="120"/>
              <w:jc w:val="left"/>
              <w:rPr>
                <w:sz w:val="20"/>
                <w:lang w:val="ru-RU" w:eastAsia="ru-RU"/>
              </w:rPr>
            </w:pPr>
            <w:r w:rsidRPr="00E93C8D">
              <w:rPr>
                <w:sz w:val="20"/>
                <w:lang w:val="ru-RU" w:eastAsia="ru-RU"/>
              </w:rPr>
              <w:t>Анализ п</w:t>
            </w:r>
            <w:r w:rsidR="001B1AF7" w:rsidRPr="00E93C8D">
              <w:rPr>
                <w:sz w:val="20"/>
                <w:lang w:val="ru-RU" w:eastAsia="ru-RU"/>
              </w:rPr>
              <w:t>о</w:t>
            </w:r>
            <w:r w:rsidRPr="00E93C8D">
              <w:rPr>
                <w:sz w:val="20"/>
                <w:lang w:val="ru-RU" w:eastAsia="ru-RU"/>
              </w:rPr>
              <w:t>следствий</w:t>
            </w:r>
            <w:r w:rsidR="001B1AF7" w:rsidRPr="00E93C8D">
              <w:rPr>
                <w:sz w:val="20"/>
                <w:lang w:val="ru-RU" w:eastAsia="ru-RU"/>
              </w:rPr>
              <w:t xml:space="preserve"> по налогу на прибыль с точки зрения экономической целесообразности заключения договора, достаточности документального подтверждения и применимости правил по трансфертному ценообразованию</w:t>
            </w:r>
            <w:r w:rsidR="0091496B" w:rsidRPr="00E93C8D">
              <w:rPr>
                <w:sz w:val="20"/>
                <w:lang w:val="ru-RU" w:eastAsia="ru-RU"/>
              </w:rPr>
              <w:t>. Предоставления рекомендаций по снижению сопутствующих рисков.</w:t>
            </w:r>
          </w:p>
          <w:p w:rsidR="0075791D" w:rsidRPr="00E93C8D" w:rsidRDefault="004D46F0" w:rsidP="0091496B">
            <w:pPr>
              <w:widowControl w:val="0"/>
              <w:numPr>
                <w:ilvl w:val="0"/>
                <w:numId w:val="7"/>
              </w:numPr>
              <w:autoSpaceDE w:val="0"/>
              <w:autoSpaceDN w:val="0"/>
              <w:adjustRightInd w:val="0"/>
              <w:spacing w:after="120"/>
              <w:jc w:val="left"/>
              <w:rPr>
                <w:sz w:val="20"/>
                <w:lang w:val="ru-RU" w:eastAsia="ru-RU"/>
              </w:rPr>
            </w:pPr>
            <w:r w:rsidRPr="00E93C8D">
              <w:rPr>
                <w:sz w:val="20"/>
                <w:lang w:val="ru-RU" w:eastAsia="ru-RU"/>
              </w:rPr>
              <w:t>Анализ последствий</w:t>
            </w:r>
            <w:r w:rsidR="001B1AF7" w:rsidRPr="00E93C8D">
              <w:rPr>
                <w:sz w:val="20"/>
                <w:lang w:val="ru-RU" w:eastAsia="ru-RU"/>
              </w:rPr>
              <w:t xml:space="preserve"> по НДС, а именно возможность применения </w:t>
            </w:r>
            <w:r w:rsidRPr="00E93C8D">
              <w:rPr>
                <w:sz w:val="20"/>
                <w:lang w:val="ru-RU" w:eastAsia="ru-RU"/>
              </w:rPr>
              <w:t>Клиентом</w:t>
            </w:r>
            <w:r w:rsidR="001B1AF7" w:rsidRPr="00E93C8D">
              <w:rPr>
                <w:sz w:val="20"/>
                <w:lang w:val="ru-RU" w:eastAsia="ru-RU"/>
              </w:rPr>
              <w:t xml:space="preserve"> ставки НДС в размере 0% в отношении услуг по перевалке грузов, в случае включения в тариф по перевалке стоимости услуг, перечисленных в пункте 4.1(V) проекта договора между </w:t>
            </w:r>
            <w:r w:rsidRPr="00E93C8D">
              <w:rPr>
                <w:sz w:val="20"/>
                <w:lang w:val="ru-RU" w:eastAsia="ru-RU"/>
              </w:rPr>
              <w:t>Клиентом</w:t>
            </w:r>
            <w:r w:rsidR="001B1AF7" w:rsidRPr="00E93C8D">
              <w:rPr>
                <w:sz w:val="20"/>
                <w:lang w:val="ru-RU" w:eastAsia="ru-RU"/>
              </w:rPr>
              <w:t xml:space="preserve"> и </w:t>
            </w:r>
            <w:r w:rsidRPr="00E93C8D">
              <w:rPr>
                <w:sz w:val="20"/>
                <w:lang w:val="ru-RU" w:eastAsia="ru-RU"/>
              </w:rPr>
              <w:t>АО «Флот НМТП»</w:t>
            </w:r>
            <w:r w:rsidR="001B1AF7" w:rsidRPr="00E93C8D">
              <w:rPr>
                <w:sz w:val="20"/>
                <w:lang w:val="ru-RU" w:eastAsia="ru-RU"/>
              </w:rPr>
              <w:t xml:space="preserve"> (швартовка, отшвартовка судна и т.д.), а также оценка риска </w:t>
            </w:r>
            <w:r w:rsidR="00F12035" w:rsidRPr="00E93C8D">
              <w:rPr>
                <w:sz w:val="20"/>
                <w:lang w:val="ru-RU" w:eastAsia="ru-RU"/>
              </w:rPr>
              <w:t xml:space="preserve">принятия к вычету НДС </w:t>
            </w:r>
            <w:r w:rsidR="001B1AF7" w:rsidRPr="00E93C8D">
              <w:rPr>
                <w:sz w:val="20"/>
                <w:lang w:val="ru-RU" w:eastAsia="ru-RU"/>
              </w:rPr>
              <w:t xml:space="preserve">по указанным услугам для </w:t>
            </w:r>
            <w:r w:rsidR="00F12035" w:rsidRPr="00E93C8D">
              <w:rPr>
                <w:sz w:val="20"/>
                <w:lang w:val="ru-RU" w:eastAsia="ru-RU"/>
              </w:rPr>
              <w:t>Клиента</w:t>
            </w:r>
            <w:r w:rsidR="0091496B" w:rsidRPr="00E93C8D">
              <w:rPr>
                <w:sz w:val="20"/>
                <w:lang w:val="ru-RU" w:eastAsia="ru-RU"/>
              </w:rPr>
              <w:t>. Предоставление рекомендаций (при их наличии) по возможности снижения рисков.</w:t>
            </w:r>
          </w:p>
          <w:p w:rsidR="001B1AF7" w:rsidRPr="00E93C8D" w:rsidRDefault="004D46F0" w:rsidP="001B1AF7">
            <w:pPr>
              <w:pStyle w:val="af7"/>
              <w:numPr>
                <w:ilvl w:val="0"/>
                <w:numId w:val="7"/>
              </w:numPr>
              <w:spacing w:after="0"/>
              <w:contextualSpacing w:val="0"/>
              <w:jc w:val="both"/>
              <w:rPr>
                <w:rFonts w:ascii="Times New Roman" w:eastAsia="Times New Roman" w:hAnsi="Times New Roman"/>
                <w:sz w:val="20"/>
                <w:szCs w:val="20"/>
                <w:lang w:val="ru-RU" w:eastAsia="ru-RU"/>
              </w:rPr>
            </w:pPr>
            <w:r w:rsidRPr="00E93C8D">
              <w:rPr>
                <w:rFonts w:ascii="Times New Roman" w:eastAsia="Times New Roman" w:hAnsi="Times New Roman"/>
                <w:sz w:val="20"/>
                <w:szCs w:val="20"/>
                <w:lang w:val="ru-RU" w:eastAsia="ru-RU"/>
              </w:rPr>
              <w:t>Анализ ю</w:t>
            </w:r>
            <w:r w:rsidR="001B1AF7" w:rsidRPr="00E93C8D">
              <w:rPr>
                <w:rFonts w:ascii="Times New Roman" w:eastAsia="Times New Roman" w:hAnsi="Times New Roman"/>
                <w:sz w:val="20"/>
                <w:szCs w:val="20"/>
                <w:lang w:val="ru-RU" w:eastAsia="ru-RU"/>
              </w:rPr>
              <w:t>ридически</w:t>
            </w:r>
            <w:r w:rsidRPr="00E93C8D">
              <w:rPr>
                <w:rFonts w:ascii="Times New Roman" w:eastAsia="Times New Roman" w:hAnsi="Times New Roman"/>
                <w:sz w:val="20"/>
                <w:szCs w:val="20"/>
                <w:lang w:val="ru-RU" w:eastAsia="ru-RU"/>
              </w:rPr>
              <w:t>х</w:t>
            </w:r>
            <w:r w:rsidR="001B1AF7" w:rsidRPr="00E93C8D">
              <w:rPr>
                <w:rFonts w:ascii="Times New Roman" w:eastAsia="Times New Roman" w:hAnsi="Times New Roman"/>
                <w:sz w:val="20"/>
                <w:szCs w:val="20"/>
                <w:lang w:val="ru-RU" w:eastAsia="ru-RU"/>
              </w:rPr>
              <w:t xml:space="preserve"> </w:t>
            </w:r>
            <w:r w:rsidRPr="00E93C8D">
              <w:rPr>
                <w:rFonts w:ascii="Times New Roman" w:eastAsia="Times New Roman" w:hAnsi="Times New Roman"/>
                <w:sz w:val="20"/>
                <w:szCs w:val="20"/>
                <w:lang w:val="ru-RU" w:eastAsia="ru-RU"/>
              </w:rPr>
              <w:t>последствий, вытекающих</w:t>
            </w:r>
            <w:r w:rsidR="001B1AF7" w:rsidRPr="00E93C8D">
              <w:rPr>
                <w:rFonts w:ascii="Times New Roman" w:eastAsia="Times New Roman" w:hAnsi="Times New Roman"/>
                <w:sz w:val="20"/>
                <w:szCs w:val="20"/>
                <w:lang w:val="ru-RU" w:eastAsia="ru-RU"/>
              </w:rPr>
              <w:t xml:space="preserve"> из российского ант</w:t>
            </w:r>
            <w:r w:rsidRPr="00E93C8D">
              <w:rPr>
                <w:rFonts w:ascii="Times New Roman" w:eastAsia="Times New Roman" w:hAnsi="Times New Roman"/>
                <w:sz w:val="20"/>
                <w:szCs w:val="20"/>
                <w:lang w:val="ru-RU" w:eastAsia="ru-RU"/>
              </w:rPr>
              <w:t>имонопольного законодательства.</w:t>
            </w:r>
          </w:p>
          <w:p w:rsidR="0075791D" w:rsidRPr="00E93C8D" w:rsidRDefault="0075791D" w:rsidP="001B1AF7">
            <w:pPr>
              <w:widowControl w:val="0"/>
              <w:autoSpaceDE w:val="0"/>
              <w:autoSpaceDN w:val="0"/>
              <w:adjustRightInd w:val="0"/>
              <w:spacing w:after="120"/>
              <w:ind w:left="720"/>
              <w:jc w:val="left"/>
              <w:rPr>
                <w:sz w:val="20"/>
                <w:lang w:val="ru-RU" w:eastAsia="ru-RU"/>
              </w:rPr>
            </w:pPr>
          </w:p>
        </w:tc>
      </w:tr>
      <w:tr w:rsidR="00483A61" w:rsidRPr="009576BA" w:rsidTr="008E31E8">
        <w:tc>
          <w:tcPr>
            <w:tcW w:w="4821" w:type="dxa"/>
            <w:gridSpan w:val="2"/>
          </w:tcPr>
          <w:p w:rsidR="00483A61" w:rsidRPr="004D46F0" w:rsidRDefault="00483A61" w:rsidP="00483A61">
            <w:pPr>
              <w:widowControl w:val="0"/>
              <w:autoSpaceDE w:val="0"/>
              <w:autoSpaceDN w:val="0"/>
              <w:adjustRightInd w:val="0"/>
              <w:spacing w:after="120"/>
              <w:jc w:val="left"/>
              <w:rPr>
                <w:sz w:val="20"/>
                <w:lang w:eastAsia="ru-RU"/>
              </w:rPr>
            </w:pPr>
            <w:r w:rsidRPr="00F24AA9">
              <w:rPr>
                <w:b/>
                <w:sz w:val="20"/>
                <w:lang w:eastAsia="ru-RU"/>
              </w:rPr>
              <w:lastRenderedPageBreak/>
              <w:t>1.1.</w:t>
            </w:r>
            <w:r w:rsidRPr="00F24AA9">
              <w:rPr>
                <w:sz w:val="20"/>
                <w:lang w:eastAsia="ru-RU"/>
              </w:rPr>
              <w:t xml:space="preserve"> </w:t>
            </w:r>
            <w:r w:rsidRPr="004D46F0">
              <w:rPr>
                <w:sz w:val="20"/>
                <w:lang w:eastAsia="ru-RU"/>
              </w:rPr>
              <w:t>Upon</w:t>
            </w:r>
            <w:r w:rsidRPr="00F24AA9">
              <w:rPr>
                <w:sz w:val="20"/>
                <w:lang w:eastAsia="ru-RU"/>
              </w:rPr>
              <w:t xml:space="preserve"> </w:t>
            </w:r>
            <w:r w:rsidRPr="004D46F0">
              <w:rPr>
                <w:sz w:val="20"/>
                <w:lang w:eastAsia="ru-RU"/>
              </w:rPr>
              <w:t>completion</w:t>
            </w:r>
            <w:r w:rsidRPr="00F24AA9">
              <w:rPr>
                <w:sz w:val="20"/>
                <w:lang w:eastAsia="ru-RU"/>
              </w:rPr>
              <w:t xml:space="preserve"> </w:t>
            </w:r>
            <w:r w:rsidRPr="004D46F0">
              <w:rPr>
                <w:sz w:val="20"/>
                <w:lang w:eastAsia="ru-RU"/>
              </w:rPr>
              <w:t>of</w:t>
            </w:r>
            <w:r w:rsidRPr="00F24AA9">
              <w:rPr>
                <w:sz w:val="20"/>
                <w:lang w:eastAsia="ru-RU"/>
              </w:rPr>
              <w:t xml:space="preserve"> </w:t>
            </w:r>
            <w:r w:rsidRPr="004D46F0">
              <w:rPr>
                <w:sz w:val="20"/>
                <w:lang w:eastAsia="ru-RU"/>
              </w:rPr>
              <w:t>our</w:t>
            </w:r>
            <w:r w:rsidRPr="00F24AA9">
              <w:rPr>
                <w:sz w:val="20"/>
                <w:lang w:eastAsia="ru-RU"/>
              </w:rPr>
              <w:t xml:space="preserve"> </w:t>
            </w:r>
            <w:r w:rsidRPr="004D46F0">
              <w:rPr>
                <w:sz w:val="20"/>
                <w:lang w:eastAsia="ru-RU"/>
              </w:rPr>
              <w:t>services Deloitte will provide: Short Memorandum.</w:t>
            </w:r>
          </w:p>
        </w:tc>
        <w:tc>
          <w:tcPr>
            <w:tcW w:w="4853" w:type="dxa"/>
            <w:gridSpan w:val="2"/>
          </w:tcPr>
          <w:p w:rsidR="00483A61" w:rsidRPr="00483A61" w:rsidRDefault="00483A61" w:rsidP="00483A61">
            <w:pPr>
              <w:widowControl w:val="0"/>
              <w:autoSpaceDE w:val="0"/>
              <w:autoSpaceDN w:val="0"/>
              <w:adjustRightInd w:val="0"/>
              <w:spacing w:after="120"/>
              <w:jc w:val="left"/>
              <w:rPr>
                <w:sz w:val="20"/>
                <w:lang w:val="ru-RU" w:eastAsia="ru-RU"/>
              </w:rPr>
            </w:pPr>
            <w:r w:rsidRPr="00483A61">
              <w:rPr>
                <w:b/>
                <w:noProof/>
                <w:sz w:val="20"/>
                <w:lang w:val="ru-RU" w:eastAsia="ru-RU"/>
              </w:rPr>
              <w:t>1.1.</w:t>
            </w:r>
            <w:r w:rsidRPr="00483A61">
              <w:rPr>
                <w:noProof/>
                <w:sz w:val="20"/>
                <w:lang w:val="ru-RU" w:eastAsia="ru-RU"/>
              </w:rPr>
              <w:t xml:space="preserve"> </w:t>
            </w:r>
            <w:r w:rsidRPr="00483A61">
              <w:rPr>
                <w:sz w:val="20"/>
                <w:lang w:val="ru-RU" w:eastAsia="ru-RU"/>
              </w:rPr>
              <w:t xml:space="preserve">По завершении оценки риска Делойт предоставит: Обзорный меморандум. </w:t>
            </w:r>
          </w:p>
        </w:tc>
      </w:tr>
      <w:tr w:rsidR="00483A61" w:rsidRPr="009576BA" w:rsidTr="008E31E8">
        <w:tc>
          <w:tcPr>
            <w:tcW w:w="4821" w:type="dxa"/>
            <w:gridSpan w:val="2"/>
          </w:tcPr>
          <w:p w:rsidR="00483A61" w:rsidRPr="00E93C8D" w:rsidRDefault="00483A61" w:rsidP="00483A61">
            <w:pPr>
              <w:widowControl w:val="0"/>
              <w:spacing w:after="120"/>
              <w:rPr>
                <w:sz w:val="20"/>
                <w:u w:val="single"/>
                <w:lang w:eastAsia="ru-RU"/>
              </w:rPr>
            </w:pPr>
            <w:r w:rsidRPr="00E93C8D">
              <w:rPr>
                <w:b/>
                <w:sz w:val="20"/>
                <w:lang w:eastAsia="ru-RU"/>
              </w:rPr>
              <w:t>2.</w:t>
            </w:r>
            <w:r w:rsidRPr="00E93C8D">
              <w:rPr>
                <w:sz w:val="20"/>
                <w:lang w:eastAsia="ru-RU"/>
              </w:rPr>
              <w:t xml:space="preserve"> </w:t>
            </w:r>
            <w:r w:rsidRPr="00E93C8D">
              <w:rPr>
                <w:sz w:val="20"/>
                <w:u w:val="single"/>
                <w:lang w:eastAsia="ru-RU"/>
              </w:rPr>
              <w:t>Fixed fee</w:t>
            </w:r>
          </w:p>
          <w:p w:rsidR="00483A61" w:rsidRPr="00E93C8D" w:rsidRDefault="00483A61" w:rsidP="00483A61">
            <w:pPr>
              <w:widowControl w:val="0"/>
              <w:autoSpaceDE w:val="0"/>
              <w:autoSpaceDN w:val="0"/>
              <w:spacing w:after="120"/>
              <w:rPr>
                <w:b/>
                <w:sz w:val="20"/>
              </w:rPr>
            </w:pPr>
            <w:r w:rsidRPr="00E93C8D">
              <w:rPr>
                <w:sz w:val="20"/>
              </w:rPr>
              <w:t>Deloitte Professional Fee for the Services shall amount to RUB 423,72</w:t>
            </w:r>
            <w:r w:rsidRPr="00526C50">
              <w:rPr>
                <w:sz w:val="20"/>
              </w:rPr>
              <w:t>8</w:t>
            </w:r>
            <w:r w:rsidRPr="00E93C8D">
              <w:rPr>
                <w:sz w:val="20"/>
              </w:rPr>
              <w:t xml:space="preserve"> (four hundred twenty-three </w:t>
            </w:r>
            <w:r>
              <w:rPr>
                <w:sz w:val="20"/>
              </w:rPr>
              <w:t>thousand seven hundred twenty-</w:t>
            </w:r>
            <w:r w:rsidRPr="00526C50">
              <w:rPr>
                <w:sz w:val="20"/>
              </w:rPr>
              <w:t>eight</w:t>
            </w:r>
            <w:r w:rsidRPr="00E93C8D">
              <w:rPr>
                <w:sz w:val="20"/>
              </w:rPr>
              <w:t>) (without VAT 18%)</w:t>
            </w:r>
            <w:r w:rsidRPr="00E93C8D">
              <w:rPr>
                <w:b/>
                <w:sz w:val="20"/>
              </w:rPr>
              <w:t>.</w:t>
            </w:r>
          </w:p>
          <w:p w:rsidR="00483A61" w:rsidRPr="00E93C8D" w:rsidRDefault="00483A61" w:rsidP="00483A61">
            <w:pPr>
              <w:widowControl w:val="0"/>
              <w:autoSpaceDE w:val="0"/>
              <w:autoSpaceDN w:val="0"/>
              <w:spacing w:after="120"/>
              <w:rPr>
                <w:b/>
                <w:bCs/>
                <w:caps/>
                <w:sz w:val="20"/>
              </w:rPr>
            </w:pPr>
          </w:p>
        </w:tc>
        <w:tc>
          <w:tcPr>
            <w:tcW w:w="4853" w:type="dxa"/>
            <w:gridSpan w:val="2"/>
          </w:tcPr>
          <w:p w:rsidR="00483A61" w:rsidRPr="00E93C8D" w:rsidRDefault="00483A61" w:rsidP="00483A61">
            <w:pPr>
              <w:widowControl w:val="0"/>
              <w:spacing w:after="120"/>
              <w:rPr>
                <w:sz w:val="20"/>
                <w:u w:val="single"/>
                <w:lang w:val="ru-RU" w:eastAsia="ru-RU"/>
              </w:rPr>
            </w:pPr>
            <w:r w:rsidRPr="00E93C8D">
              <w:rPr>
                <w:b/>
                <w:sz w:val="20"/>
                <w:lang w:val="ru-RU" w:eastAsia="ru-RU"/>
              </w:rPr>
              <w:t>2.</w:t>
            </w:r>
            <w:r w:rsidRPr="00E93C8D">
              <w:rPr>
                <w:sz w:val="20"/>
                <w:lang w:val="ru-RU" w:eastAsia="ru-RU"/>
              </w:rPr>
              <w:t xml:space="preserve"> </w:t>
            </w:r>
            <w:r w:rsidRPr="00E93C8D">
              <w:rPr>
                <w:sz w:val="20"/>
                <w:u w:val="single"/>
                <w:lang w:val="ru-RU" w:eastAsia="ru-RU"/>
              </w:rPr>
              <w:t>Фиксированное вознаграждение</w:t>
            </w:r>
          </w:p>
          <w:p w:rsidR="00483A61" w:rsidRPr="00E93C8D" w:rsidRDefault="00483A61" w:rsidP="00483A61">
            <w:pPr>
              <w:widowControl w:val="0"/>
              <w:autoSpaceDE w:val="0"/>
              <w:autoSpaceDN w:val="0"/>
              <w:adjustRightInd w:val="0"/>
              <w:spacing w:after="120"/>
              <w:rPr>
                <w:b/>
                <w:sz w:val="20"/>
                <w:lang w:val="ru-RU" w:eastAsia="ru-RU"/>
              </w:rPr>
            </w:pPr>
            <w:r w:rsidRPr="00E93C8D">
              <w:rPr>
                <w:sz w:val="20"/>
                <w:lang w:val="ru-RU" w:eastAsia="ru-RU"/>
              </w:rPr>
              <w:t>Сумма Вознаграждения за Услуги Делойт составит 423,728 (четыреста двадцать три тысячи семьсот двадцать восемь) российских рублей (без НДС 18%)</w:t>
            </w:r>
            <w:r w:rsidRPr="00E93C8D">
              <w:rPr>
                <w:b/>
                <w:sz w:val="20"/>
                <w:lang w:val="ru-RU" w:eastAsia="ru-RU"/>
              </w:rPr>
              <w:t>.</w:t>
            </w:r>
          </w:p>
          <w:p w:rsidR="00483A61" w:rsidRPr="00E93C8D" w:rsidRDefault="00483A61" w:rsidP="00483A61">
            <w:pPr>
              <w:widowControl w:val="0"/>
              <w:spacing w:after="120"/>
              <w:rPr>
                <w:b/>
                <w:sz w:val="20"/>
                <w:lang w:val="ru-RU" w:eastAsia="ru-RU"/>
              </w:rPr>
            </w:pPr>
          </w:p>
        </w:tc>
      </w:tr>
      <w:tr w:rsidR="00483A61" w:rsidRPr="00E93C8D" w:rsidTr="008E31E8">
        <w:trPr>
          <w:trHeight w:val="1020"/>
        </w:trPr>
        <w:tc>
          <w:tcPr>
            <w:tcW w:w="4821" w:type="dxa"/>
            <w:gridSpan w:val="2"/>
          </w:tcPr>
          <w:p w:rsidR="00483A61" w:rsidRPr="00E93C8D" w:rsidRDefault="00483A61" w:rsidP="00483A61">
            <w:pPr>
              <w:widowControl w:val="0"/>
              <w:autoSpaceDE w:val="0"/>
              <w:autoSpaceDN w:val="0"/>
              <w:spacing w:after="120"/>
              <w:rPr>
                <w:sz w:val="20"/>
              </w:rPr>
            </w:pPr>
            <w:r w:rsidRPr="00E93C8D">
              <w:rPr>
                <w:b/>
                <w:sz w:val="20"/>
              </w:rPr>
              <w:t>3.</w:t>
            </w:r>
            <w:r w:rsidRPr="00E93C8D">
              <w:rPr>
                <w:sz w:val="20"/>
              </w:rPr>
              <w:t xml:space="preserve"> </w:t>
            </w:r>
            <w:r w:rsidRPr="00E93C8D">
              <w:rPr>
                <w:sz w:val="20"/>
                <w:lang w:val="en-GB"/>
              </w:rPr>
              <w:t>Settlements between the Parties will be effected based on invoices issued to the Client</w:t>
            </w:r>
            <w:r w:rsidRPr="00E93C8D">
              <w:rPr>
                <w:sz w:val="20"/>
              </w:rPr>
              <w:t>.</w:t>
            </w:r>
            <w:r w:rsidRPr="00E93C8D">
              <w:rPr>
                <w:sz w:val="20"/>
                <w:bdr w:val="none" w:sz="0" w:space="0" w:color="auto" w:frame="1"/>
                <w:lang w:val="en-GB"/>
              </w:rPr>
              <w:t xml:space="preserve"> </w:t>
            </w:r>
            <w:r w:rsidRPr="00E93C8D">
              <w:rPr>
                <w:sz w:val="20"/>
                <w:bdr w:val="none" w:sz="0" w:space="0" w:color="auto" w:frame="1"/>
              </w:rPr>
              <w:t xml:space="preserve">The invoices shall be issued and paid in accordance with the terms of the Engagement letter. </w:t>
            </w:r>
          </w:p>
        </w:tc>
        <w:tc>
          <w:tcPr>
            <w:tcW w:w="4853" w:type="dxa"/>
            <w:gridSpan w:val="2"/>
          </w:tcPr>
          <w:p w:rsidR="00483A61" w:rsidRPr="00E93C8D" w:rsidRDefault="00483A61" w:rsidP="00483A61">
            <w:pPr>
              <w:widowControl w:val="0"/>
              <w:spacing w:after="120"/>
              <w:rPr>
                <w:b/>
                <w:sz w:val="20"/>
                <w:lang w:val="ru-RU" w:eastAsia="ru-RU"/>
              </w:rPr>
            </w:pPr>
            <w:r w:rsidRPr="00E93C8D">
              <w:rPr>
                <w:b/>
                <w:sz w:val="20"/>
                <w:lang w:val="ru-RU" w:eastAsia="ru-RU"/>
              </w:rPr>
              <w:t>3.</w:t>
            </w:r>
            <w:r w:rsidRPr="00E93C8D">
              <w:rPr>
                <w:sz w:val="20"/>
                <w:lang w:val="ru-RU" w:eastAsia="ru-RU"/>
              </w:rPr>
              <w:t xml:space="preserve"> Расчеты между Сторонами осуществляются на основании выставляемых Клиенту счетов. Счета выставляются и оплачиваются в соответствии с условиями Соглашения.</w:t>
            </w:r>
          </w:p>
        </w:tc>
      </w:tr>
      <w:tr w:rsidR="00483A61" w:rsidRPr="009576BA" w:rsidTr="008E31E8">
        <w:tc>
          <w:tcPr>
            <w:tcW w:w="4821" w:type="dxa"/>
            <w:gridSpan w:val="2"/>
          </w:tcPr>
          <w:p w:rsidR="00483A61" w:rsidRPr="00E93C8D" w:rsidRDefault="00483A61" w:rsidP="00483A61">
            <w:pPr>
              <w:widowControl w:val="0"/>
              <w:tabs>
                <w:tab w:val="num" w:pos="702"/>
              </w:tabs>
              <w:autoSpaceDE w:val="0"/>
              <w:autoSpaceDN w:val="0"/>
              <w:spacing w:after="120"/>
              <w:rPr>
                <w:sz w:val="20"/>
                <w:u w:val="single"/>
              </w:rPr>
            </w:pPr>
            <w:r w:rsidRPr="00E93C8D">
              <w:rPr>
                <w:b/>
                <w:sz w:val="20"/>
              </w:rPr>
              <w:t>4.</w:t>
            </w:r>
            <w:r w:rsidRPr="00E93C8D">
              <w:rPr>
                <w:sz w:val="20"/>
              </w:rPr>
              <w:t xml:space="preserve"> Payment shall be made </w:t>
            </w:r>
            <w:r w:rsidRPr="00E93C8D">
              <w:rPr>
                <w:sz w:val="20"/>
                <w:lang w:val="en-GB"/>
              </w:rPr>
              <w:t>in accordance with the following schedule</w:t>
            </w:r>
            <w:r w:rsidRPr="00E93C8D">
              <w:rPr>
                <w:sz w:val="20"/>
              </w:rPr>
              <w:t>:</w:t>
            </w:r>
          </w:p>
        </w:tc>
        <w:tc>
          <w:tcPr>
            <w:tcW w:w="4853" w:type="dxa"/>
            <w:gridSpan w:val="2"/>
          </w:tcPr>
          <w:p w:rsidR="00483A61" w:rsidRPr="00E93C8D" w:rsidRDefault="00483A61" w:rsidP="00483A61">
            <w:pPr>
              <w:widowControl w:val="0"/>
              <w:tabs>
                <w:tab w:val="num" w:pos="702"/>
              </w:tabs>
              <w:autoSpaceDE w:val="0"/>
              <w:autoSpaceDN w:val="0"/>
              <w:spacing w:after="120"/>
              <w:rPr>
                <w:sz w:val="20"/>
                <w:lang w:val="ru-RU"/>
              </w:rPr>
            </w:pPr>
            <w:r w:rsidRPr="00E93C8D">
              <w:rPr>
                <w:b/>
                <w:sz w:val="20"/>
                <w:lang w:val="ru-RU"/>
              </w:rPr>
              <w:t>4.</w:t>
            </w:r>
            <w:r w:rsidRPr="00E93C8D">
              <w:rPr>
                <w:sz w:val="20"/>
                <w:lang w:val="ru-RU"/>
              </w:rPr>
              <w:t xml:space="preserve"> Оплата производится в следующем порядке:</w:t>
            </w:r>
          </w:p>
        </w:tc>
      </w:tr>
      <w:tr w:rsidR="00483A61" w:rsidRPr="00E94258" w:rsidTr="008E31E8">
        <w:tc>
          <w:tcPr>
            <w:tcW w:w="4821" w:type="dxa"/>
            <w:gridSpan w:val="2"/>
          </w:tcPr>
          <w:p w:rsidR="00483A61" w:rsidRPr="00E93C8D" w:rsidRDefault="00483A61" w:rsidP="00483A61">
            <w:pPr>
              <w:widowControl w:val="0"/>
              <w:tabs>
                <w:tab w:val="num" w:pos="702"/>
              </w:tabs>
              <w:autoSpaceDE w:val="0"/>
              <w:autoSpaceDN w:val="0"/>
              <w:spacing w:after="120"/>
              <w:rPr>
                <w:sz w:val="20"/>
              </w:rPr>
            </w:pPr>
            <w:r w:rsidRPr="00E93C8D">
              <w:rPr>
                <w:sz w:val="20"/>
                <w:lang w:val="en-GB"/>
              </w:rPr>
              <w:t xml:space="preserve">Upon completion of the Services the Client shall pay </w:t>
            </w:r>
            <w:r w:rsidRPr="00E93C8D">
              <w:rPr>
                <w:sz w:val="20"/>
              </w:rPr>
              <w:t>Deloitte Professional Fee</w:t>
            </w:r>
            <w:r w:rsidRPr="00E93C8D">
              <w:rPr>
                <w:sz w:val="20"/>
                <w:lang w:val="en-GB"/>
              </w:rPr>
              <w:t xml:space="preserve">, </w:t>
            </w:r>
            <w:r w:rsidRPr="00E93C8D">
              <w:rPr>
                <w:sz w:val="20"/>
              </w:rPr>
              <w:t>on the grounds of invoice, prepared by Deloitte.</w:t>
            </w:r>
          </w:p>
          <w:p w:rsidR="00483A61" w:rsidRPr="00E93C8D" w:rsidRDefault="00483A61" w:rsidP="00483A61">
            <w:pPr>
              <w:widowControl w:val="0"/>
              <w:tabs>
                <w:tab w:val="num"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tLeast"/>
              <w:rPr>
                <w:sz w:val="20"/>
              </w:rPr>
            </w:pPr>
          </w:p>
        </w:tc>
        <w:tc>
          <w:tcPr>
            <w:tcW w:w="4853" w:type="dxa"/>
            <w:gridSpan w:val="2"/>
          </w:tcPr>
          <w:p w:rsidR="00483A61" w:rsidRPr="00E93C8D" w:rsidRDefault="00483A61" w:rsidP="00483A61">
            <w:pPr>
              <w:widowControl w:val="0"/>
              <w:spacing w:after="120"/>
              <w:rPr>
                <w:noProof/>
                <w:sz w:val="20"/>
                <w:lang w:val="ru-RU" w:eastAsia="ru-RU"/>
              </w:rPr>
            </w:pPr>
            <w:r w:rsidRPr="00E93C8D">
              <w:rPr>
                <w:sz w:val="20"/>
                <w:lang w:val="ru-RU"/>
              </w:rPr>
              <w:t xml:space="preserve">По завершении оказания Услуг Клиент обязуется оплатить </w:t>
            </w:r>
            <w:r w:rsidRPr="00E93C8D">
              <w:rPr>
                <w:sz w:val="20"/>
                <w:lang w:val="ru-RU" w:eastAsia="ru-RU"/>
              </w:rPr>
              <w:t>Сумму Вознаграждения за Услуги Делойт</w:t>
            </w:r>
            <w:r w:rsidRPr="00E93C8D">
              <w:rPr>
                <w:sz w:val="20"/>
                <w:lang w:val="ru-RU"/>
              </w:rPr>
              <w:t xml:space="preserve"> на основании счета, выставленного Делойт.</w:t>
            </w:r>
            <w:r w:rsidRPr="00E93C8D">
              <w:rPr>
                <w:noProof/>
                <w:sz w:val="20"/>
                <w:lang w:val="ru-RU" w:eastAsia="ru-RU"/>
              </w:rPr>
              <w:t xml:space="preserve"> </w:t>
            </w:r>
          </w:p>
          <w:p w:rsidR="00483A61" w:rsidRPr="00E93C8D" w:rsidRDefault="00483A61" w:rsidP="00483A61">
            <w:pPr>
              <w:widowControl w:val="0"/>
              <w:spacing w:after="120"/>
              <w:rPr>
                <w:noProof/>
                <w:sz w:val="20"/>
                <w:lang w:val="ru-RU" w:eastAsia="ru-RU"/>
              </w:rPr>
            </w:pPr>
          </w:p>
        </w:tc>
      </w:tr>
      <w:tr w:rsidR="00483A61" w:rsidRPr="009576BA" w:rsidTr="008E31E8">
        <w:tc>
          <w:tcPr>
            <w:tcW w:w="4821" w:type="dxa"/>
            <w:gridSpan w:val="2"/>
          </w:tcPr>
          <w:p w:rsidR="00483A61" w:rsidRPr="00E93C8D" w:rsidRDefault="00483A61" w:rsidP="00483A61">
            <w:pPr>
              <w:widowControl w:val="0"/>
              <w:autoSpaceDE w:val="0"/>
              <w:autoSpaceDN w:val="0"/>
              <w:spacing w:after="120"/>
              <w:rPr>
                <w:sz w:val="20"/>
              </w:rPr>
            </w:pPr>
            <w:r w:rsidRPr="00E93C8D">
              <w:rPr>
                <w:b/>
                <w:sz w:val="20"/>
              </w:rPr>
              <w:t>5.</w:t>
            </w:r>
            <w:r w:rsidRPr="00E93C8D">
              <w:rPr>
                <w:sz w:val="20"/>
              </w:rPr>
              <w:t xml:space="preserve"> The present Addendum takes effect from the moment it is signed by both Parties and shall remain valid till the Parties’ entire fulfillment of their obligations hereunder. </w:t>
            </w:r>
          </w:p>
        </w:tc>
        <w:tc>
          <w:tcPr>
            <w:tcW w:w="4853" w:type="dxa"/>
            <w:gridSpan w:val="2"/>
          </w:tcPr>
          <w:p w:rsidR="00483A61" w:rsidRPr="00E93C8D" w:rsidRDefault="00483A61" w:rsidP="00483A61">
            <w:pPr>
              <w:widowControl w:val="0"/>
              <w:autoSpaceDE w:val="0"/>
              <w:autoSpaceDN w:val="0"/>
              <w:spacing w:after="120"/>
              <w:rPr>
                <w:b/>
                <w:sz w:val="20"/>
                <w:lang w:val="ru-RU"/>
              </w:rPr>
            </w:pPr>
            <w:r w:rsidRPr="00E93C8D">
              <w:rPr>
                <w:b/>
                <w:sz w:val="20"/>
                <w:lang w:val="ru-RU"/>
              </w:rPr>
              <w:t>5.</w:t>
            </w:r>
            <w:r w:rsidRPr="00E93C8D">
              <w:rPr>
                <w:sz w:val="20"/>
                <w:lang w:val="ru-RU"/>
              </w:rPr>
              <w:t xml:space="preserve"> Настоящее Дополнительное соглашение вступает в силу с момента его подписания обеими Сторонами и действует до полного исполнения Сторонами своих обязательств по Дополнительному соглашению.</w:t>
            </w:r>
          </w:p>
        </w:tc>
      </w:tr>
      <w:tr w:rsidR="00483A61" w:rsidRPr="009576BA" w:rsidTr="008E31E8">
        <w:tc>
          <w:tcPr>
            <w:tcW w:w="4821" w:type="dxa"/>
            <w:gridSpan w:val="2"/>
          </w:tcPr>
          <w:p w:rsidR="00483A61" w:rsidRPr="00E93C8D" w:rsidRDefault="00483A61" w:rsidP="00483A61">
            <w:pPr>
              <w:widowControl w:val="0"/>
              <w:autoSpaceDE w:val="0"/>
              <w:autoSpaceDN w:val="0"/>
              <w:spacing w:after="120"/>
              <w:rPr>
                <w:sz w:val="20"/>
                <w:lang w:eastAsia="ru-RU"/>
              </w:rPr>
            </w:pPr>
            <w:r w:rsidRPr="00E93C8D">
              <w:rPr>
                <w:b/>
                <w:sz w:val="20"/>
                <w:lang w:val="en-GB"/>
              </w:rPr>
              <w:t>6.</w:t>
            </w:r>
            <w:r w:rsidRPr="00E93C8D">
              <w:rPr>
                <w:sz w:val="20"/>
                <w:lang w:val="en-GB"/>
              </w:rPr>
              <w:t xml:space="preserve"> This A</w:t>
            </w:r>
            <w:r w:rsidRPr="00E93C8D">
              <w:rPr>
                <w:sz w:val="20"/>
              </w:rPr>
              <w:t>ddendum</w:t>
            </w:r>
            <w:r w:rsidRPr="00E93C8D">
              <w:rPr>
                <w:sz w:val="20"/>
                <w:lang w:val="en-GB"/>
              </w:rPr>
              <w:t xml:space="preserve"> </w:t>
            </w:r>
            <w:r w:rsidRPr="00E93C8D">
              <w:rPr>
                <w:sz w:val="20"/>
              </w:rPr>
              <w:t xml:space="preserve">is an integral part of the </w:t>
            </w:r>
            <w:r w:rsidRPr="00E93C8D">
              <w:rPr>
                <w:sz w:val="20"/>
                <w:lang w:val="en-GB"/>
              </w:rPr>
              <w:t>Engagement letter</w:t>
            </w:r>
            <w:r w:rsidRPr="00E93C8D">
              <w:rPr>
                <w:sz w:val="20"/>
              </w:rPr>
              <w:t xml:space="preserve">. All the provisions of the </w:t>
            </w:r>
            <w:r w:rsidRPr="00E93C8D">
              <w:rPr>
                <w:sz w:val="20"/>
                <w:lang w:val="en-GB"/>
              </w:rPr>
              <w:t>Engagement letter</w:t>
            </w:r>
            <w:r w:rsidRPr="00E93C8D">
              <w:rPr>
                <w:sz w:val="20"/>
              </w:rPr>
              <w:t>, which are not referred to in this Addendum remain unaltered.</w:t>
            </w:r>
          </w:p>
        </w:tc>
        <w:tc>
          <w:tcPr>
            <w:tcW w:w="4853" w:type="dxa"/>
            <w:gridSpan w:val="2"/>
          </w:tcPr>
          <w:p w:rsidR="00483A61" w:rsidRPr="00E93C8D" w:rsidRDefault="00483A61" w:rsidP="00483A61">
            <w:pPr>
              <w:widowControl w:val="0"/>
              <w:autoSpaceDE w:val="0"/>
              <w:autoSpaceDN w:val="0"/>
              <w:spacing w:after="120"/>
              <w:rPr>
                <w:b/>
                <w:sz w:val="20"/>
                <w:lang w:val="ru-RU"/>
              </w:rPr>
            </w:pPr>
            <w:r w:rsidRPr="00E93C8D">
              <w:rPr>
                <w:b/>
                <w:sz w:val="20"/>
                <w:lang w:val="ru-RU"/>
              </w:rPr>
              <w:t>6.</w:t>
            </w:r>
            <w:r w:rsidRPr="00E93C8D">
              <w:rPr>
                <w:sz w:val="20"/>
                <w:lang w:val="ru-RU"/>
              </w:rPr>
              <w:t xml:space="preserve"> Настоящее Дополнительное соглашение является неотъемлемой частью Соглашения. </w:t>
            </w:r>
            <w:r w:rsidRPr="00E93C8D">
              <w:rPr>
                <w:sz w:val="20"/>
                <w:lang w:val="ru-RU" w:eastAsia="ru-RU"/>
              </w:rPr>
              <w:t>Все положения С</w:t>
            </w:r>
            <w:r w:rsidRPr="00E93C8D">
              <w:rPr>
                <w:sz w:val="20"/>
                <w:lang w:val="ru-RU"/>
              </w:rPr>
              <w:t>оглашения</w:t>
            </w:r>
            <w:r w:rsidRPr="00E93C8D">
              <w:rPr>
                <w:sz w:val="20"/>
                <w:lang w:val="ru-RU" w:eastAsia="ru-RU"/>
              </w:rPr>
              <w:t>, не упомянутые в настоящем Дополнительном соглашении, остаются без изменений.</w:t>
            </w:r>
          </w:p>
        </w:tc>
      </w:tr>
      <w:tr w:rsidR="00483A61" w:rsidRPr="009576BA" w:rsidTr="008E31E8">
        <w:tc>
          <w:tcPr>
            <w:tcW w:w="4821" w:type="dxa"/>
            <w:gridSpan w:val="2"/>
          </w:tcPr>
          <w:p w:rsidR="00483A61" w:rsidRPr="00E93C8D" w:rsidRDefault="00483A61" w:rsidP="00483A61">
            <w:pPr>
              <w:widowControl w:val="0"/>
              <w:spacing w:after="120"/>
              <w:rPr>
                <w:sz w:val="20"/>
                <w:lang w:eastAsia="ru-RU"/>
              </w:rPr>
            </w:pPr>
            <w:r w:rsidRPr="00E93C8D">
              <w:rPr>
                <w:b/>
                <w:sz w:val="20"/>
                <w:lang w:eastAsia="ru-RU"/>
              </w:rPr>
              <w:t>7.</w:t>
            </w:r>
            <w:r w:rsidRPr="00E93C8D">
              <w:rPr>
                <w:sz w:val="20"/>
                <w:lang w:eastAsia="ru-RU"/>
              </w:rPr>
              <w:t xml:space="preserve"> The present Addendum is executed in two copies, one copy for each Party, both copies being of equal legal power. Should different interpretations arise from translation, the Russian version shall prevail.</w:t>
            </w:r>
          </w:p>
        </w:tc>
        <w:tc>
          <w:tcPr>
            <w:tcW w:w="4853" w:type="dxa"/>
            <w:gridSpan w:val="2"/>
          </w:tcPr>
          <w:p w:rsidR="00483A61" w:rsidRPr="00E93C8D" w:rsidRDefault="00483A61" w:rsidP="00483A61">
            <w:pPr>
              <w:widowControl w:val="0"/>
              <w:spacing w:after="120"/>
              <w:rPr>
                <w:b/>
                <w:sz w:val="20"/>
                <w:lang w:val="ru-RU" w:eastAsia="ru-RU"/>
              </w:rPr>
            </w:pPr>
            <w:r w:rsidRPr="00E93C8D">
              <w:rPr>
                <w:b/>
                <w:noProof/>
                <w:sz w:val="20"/>
                <w:lang w:val="ru-RU" w:eastAsia="ru-RU"/>
              </w:rPr>
              <w:t>7.</w:t>
            </w:r>
            <w:r w:rsidRPr="00E93C8D">
              <w:rPr>
                <w:noProof/>
                <w:sz w:val="20"/>
                <w:lang w:val="ru-RU" w:eastAsia="ru-RU"/>
              </w:rPr>
              <w:t xml:space="preserve"> Настоящее Дополнительное соглашение составлено в двух экземплярах, по одному экземпляру для каждой из Сторон.</w:t>
            </w:r>
            <w:r w:rsidRPr="00E93C8D">
              <w:rPr>
                <w:sz w:val="20"/>
                <w:lang w:val="ru-RU" w:eastAsia="ru-RU"/>
              </w:rPr>
              <w:t xml:space="preserve"> </w:t>
            </w:r>
            <w:r w:rsidRPr="00E93C8D">
              <w:rPr>
                <w:noProof/>
                <w:sz w:val="20"/>
                <w:lang w:val="ru-RU" w:eastAsia="ru-RU"/>
              </w:rPr>
              <w:t>Оба экземпляра имеют равную юридическую силу.</w:t>
            </w:r>
            <w:r w:rsidRPr="00E93C8D">
              <w:rPr>
                <w:sz w:val="20"/>
                <w:lang w:val="ru-RU" w:eastAsia="ru-RU"/>
              </w:rPr>
              <w:t xml:space="preserve"> </w:t>
            </w:r>
            <w:r w:rsidRPr="00E93C8D">
              <w:rPr>
                <w:noProof/>
                <w:sz w:val="20"/>
                <w:lang w:val="ru-RU" w:eastAsia="ru-RU"/>
              </w:rPr>
              <w:t>В случае разногласий, возникающих из различного толкования положений Дополнительного соглашения на русском и английском языках, русский текст Дополнительного соглашения имеет приоритет.</w:t>
            </w:r>
          </w:p>
        </w:tc>
      </w:tr>
    </w:tbl>
    <w:p w:rsidR="0075791D" w:rsidRPr="00E93C8D" w:rsidRDefault="0075791D" w:rsidP="0075791D">
      <w:pPr>
        <w:spacing w:before="120" w:after="120"/>
        <w:ind w:right="-1322"/>
        <w:jc w:val="left"/>
        <w:rPr>
          <w:b/>
          <w:sz w:val="20"/>
          <w:lang w:val="ru-RU" w:eastAsia="ru-RU"/>
        </w:rPr>
      </w:pPr>
    </w:p>
    <w:tbl>
      <w:tblPr>
        <w:tblStyle w:val="TableGrid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E93C8D" w:rsidRPr="009576BA" w:rsidTr="008E31E8">
        <w:tc>
          <w:tcPr>
            <w:tcW w:w="9640" w:type="dxa"/>
          </w:tcPr>
          <w:p w:rsidR="0075791D" w:rsidRPr="00E93C8D" w:rsidRDefault="0075791D" w:rsidP="0075791D">
            <w:pPr>
              <w:widowControl w:val="0"/>
              <w:spacing w:after="120"/>
              <w:ind w:left="284" w:right="-3" w:hanging="284"/>
              <w:outlineLvl w:val="8"/>
              <w:rPr>
                <w:sz w:val="20"/>
              </w:rPr>
            </w:pPr>
            <w:r w:rsidRPr="00E93C8D">
              <w:rPr>
                <w:sz w:val="20"/>
              </w:rPr>
              <w:t xml:space="preserve">Signed on behalf of Deloitte / </w:t>
            </w:r>
            <w:r w:rsidRPr="00E93C8D">
              <w:rPr>
                <w:sz w:val="20"/>
                <w:lang w:val="ru-RU"/>
              </w:rPr>
              <w:t>Подписано</w:t>
            </w:r>
            <w:r w:rsidRPr="00E93C8D">
              <w:rPr>
                <w:sz w:val="20"/>
              </w:rPr>
              <w:t xml:space="preserve"> </w:t>
            </w:r>
            <w:r w:rsidRPr="00E93C8D">
              <w:rPr>
                <w:sz w:val="20"/>
                <w:lang w:val="ru-RU"/>
              </w:rPr>
              <w:t>от</w:t>
            </w:r>
            <w:r w:rsidRPr="00E93C8D">
              <w:rPr>
                <w:sz w:val="20"/>
              </w:rPr>
              <w:t xml:space="preserve"> </w:t>
            </w:r>
            <w:r w:rsidRPr="00E93C8D">
              <w:rPr>
                <w:sz w:val="20"/>
                <w:lang w:val="ru-RU"/>
              </w:rPr>
              <w:t>имени</w:t>
            </w:r>
            <w:r w:rsidRPr="00E93C8D">
              <w:rPr>
                <w:sz w:val="20"/>
              </w:rPr>
              <w:t xml:space="preserve"> </w:t>
            </w:r>
            <w:r w:rsidRPr="00E93C8D">
              <w:rPr>
                <w:sz w:val="20"/>
                <w:lang w:val="ru-RU"/>
              </w:rPr>
              <w:t>Делойт</w:t>
            </w:r>
          </w:p>
          <w:p w:rsidR="0075791D" w:rsidRPr="00E93C8D" w:rsidRDefault="0075791D" w:rsidP="0075791D">
            <w:pPr>
              <w:widowControl w:val="0"/>
              <w:spacing w:after="120"/>
              <w:rPr>
                <w:sz w:val="20"/>
              </w:rPr>
            </w:pPr>
          </w:p>
          <w:p w:rsidR="0075791D" w:rsidRPr="00E93C8D" w:rsidRDefault="0075791D" w:rsidP="0075791D">
            <w:pPr>
              <w:widowControl w:val="0"/>
              <w:spacing w:after="120"/>
              <w:rPr>
                <w:sz w:val="20"/>
              </w:rPr>
            </w:pPr>
          </w:p>
          <w:p w:rsidR="0075791D" w:rsidRPr="00E93C8D" w:rsidRDefault="00E47202" w:rsidP="0075791D">
            <w:pPr>
              <w:widowControl w:val="0"/>
              <w:spacing w:after="120"/>
              <w:jc w:val="left"/>
              <w:rPr>
                <w:sz w:val="20"/>
                <w:lang w:eastAsia="ru-RU"/>
              </w:rPr>
            </w:pPr>
            <w:r w:rsidRPr="00E93C8D">
              <w:rPr>
                <w:sz w:val="20"/>
                <w:lang w:eastAsia="ru-RU"/>
              </w:rPr>
              <w:t>Silantiev Andrey</w:t>
            </w:r>
            <w:r w:rsidR="0075791D" w:rsidRPr="00E93C8D">
              <w:rPr>
                <w:sz w:val="20"/>
                <w:lang w:eastAsia="ru-RU"/>
              </w:rPr>
              <w:t>, Partner, acting on the basis of the power of attorney d</w:t>
            </w:r>
            <w:r w:rsidRPr="00E93C8D">
              <w:rPr>
                <w:sz w:val="20"/>
                <w:lang w:eastAsia="ru-RU"/>
              </w:rPr>
              <w:t>ated 15 November 2016</w:t>
            </w:r>
          </w:p>
          <w:p w:rsidR="0075791D" w:rsidRPr="00E93C8D" w:rsidRDefault="004D46F0" w:rsidP="0075791D">
            <w:pPr>
              <w:widowControl w:val="0"/>
              <w:spacing w:after="120" w:line="240" w:lineRule="exact"/>
              <w:jc w:val="left"/>
              <w:rPr>
                <w:sz w:val="20"/>
                <w:lang w:val="ru-RU" w:eastAsia="ru-RU"/>
              </w:rPr>
            </w:pPr>
            <w:r w:rsidRPr="00E93C8D">
              <w:rPr>
                <w:sz w:val="20"/>
                <w:lang w:val="ru-RU" w:eastAsia="ru-RU"/>
              </w:rPr>
              <w:t>Силанть</w:t>
            </w:r>
            <w:r w:rsidR="00E47202" w:rsidRPr="00E93C8D">
              <w:rPr>
                <w:sz w:val="20"/>
                <w:lang w:val="ru-RU" w:eastAsia="ru-RU"/>
              </w:rPr>
              <w:t>ев Андрей</w:t>
            </w:r>
            <w:r w:rsidR="0075791D" w:rsidRPr="00E93C8D">
              <w:rPr>
                <w:sz w:val="20"/>
                <w:lang w:val="ru-RU" w:eastAsia="ru-RU"/>
              </w:rPr>
              <w:t>, Партнер, действующий на осн</w:t>
            </w:r>
            <w:r w:rsidR="00E47202" w:rsidRPr="00E93C8D">
              <w:rPr>
                <w:sz w:val="20"/>
                <w:lang w:val="ru-RU" w:eastAsia="ru-RU"/>
              </w:rPr>
              <w:t>овании доверенности от 15 ноября 2016 г.</w:t>
            </w:r>
          </w:p>
          <w:p w:rsidR="0075791D" w:rsidRPr="00E93C8D" w:rsidRDefault="0075791D" w:rsidP="0075791D">
            <w:pPr>
              <w:widowControl w:val="0"/>
              <w:spacing w:after="120" w:line="240" w:lineRule="exact"/>
              <w:jc w:val="left"/>
              <w:rPr>
                <w:sz w:val="20"/>
                <w:lang w:val="ru-RU" w:eastAsia="ru-RU"/>
              </w:rPr>
            </w:pPr>
          </w:p>
          <w:p w:rsidR="0075791D" w:rsidRPr="00E93C8D" w:rsidRDefault="0075791D" w:rsidP="0075791D">
            <w:pPr>
              <w:widowControl w:val="0"/>
              <w:spacing w:after="120" w:line="240" w:lineRule="exact"/>
              <w:jc w:val="left"/>
              <w:rPr>
                <w:sz w:val="20"/>
                <w:lang w:val="ru-RU" w:eastAsia="ru-RU"/>
              </w:rPr>
            </w:pPr>
          </w:p>
        </w:tc>
      </w:tr>
      <w:tr w:rsidR="00E93C8D" w:rsidRPr="00E94258" w:rsidTr="008E31E8">
        <w:tc>
          <w:tcPr>
            <w:tcW w:w="9640" w:type="dxa"/>
          </w:tcPr>
          <w:p w:rsidR="0075791D" w:rsidRPr="00E93C8D" w:rsidRDefault="0075791D" w:rsidP="0075791D">
            <w:pPr>
              <w:widowControl w:val="0"/>
              <w:spacing w:after="120"/>
              <w:ind w:left="284" w:right="-3" w:hanging="284"/>
              <w:outlineLvl w:val="8"/>
              <w:rPr>
                <w:sz w:val="20"/>
              </w:rPr>
            </w:pPr>
            <w:r w:rsidRPr="00E93C8D">
              <w:rPr>
                <w:sz w:val="20"/>
              </w:rPr>
              <w:t xml:space="preserve">Signed on behalf of the Client / </w:t>
            </w:r>
            <w:r w:rsidRPr="00E93C8D">
              <w:rPr>
                <w:sz w:val="20"/>
                <w:lang w:val="ru-RU"/>
              </w:rPr>
              <w:t>Подписано</w:t>
            </w:r>
            <w:r w:rsidRPr="00E93C8D">
              <w:rPr>
                <w:sz w:val="20"/>
              </w:rPr>
              <w:t xml:space="preserve"> </w:t>
            </w:r>
            <w:r w:rsidRPr="00E93C8D">
              <w:rPr>
                <w:sz w:val="20"/>
                <w:lang w:val="ru-RU"/>
              </w:rPr>
              <w:t>от</w:t>
            </w:r>
            <w:r w:rsidRPr="00E93C8D">
              <w:rPr>
                <w:sz w:val="20"/>
              </w:rPr>
              <w:t xml:space="preserve"> </w:t>
            </w:r>
            <w:r w:rsidRPr="00E93C8D">
              <w:rPr>
                <w:sz w:val="20"/>
                <w:lang w:val="ru-RU"/>
              </w:rPr>
              <w:t>имени</w:t>
            </w:r>
            <w:r w:rsidRPr="00E93C8D">
              <w:rPr>
                <w:sz w:val="20"/>
              </w:rPr>
              <w:t xml:space="preserve"> </w:t>
            </w:r>
            <w:r w:rsidRPr="00E93C8D">
              <w:rPr>
                <w:sz w:val="20"/>
                <w:lang w:val="ru-RU"/>
              </w:rPr>
              <w:t>Клиента</w:t>
            </w:r>
          </w:p>
          <w:p w:rsidR="0075791D" w:rsidRPr="00E93C8D" w:rsidRDefault="0075791D" w:rsidP="0075791D">
            <w:pPr>
              <w:widowControl w:val="0"/>
              <w:autoSpaceDE w:val="0"/>
              <w:autoSpaceDN w:val="0"/>
              <w:adjustRightInd w:val="0"/>
              <w:spacing w:after="120"/>
              <w:jc w:val="left"/>
              <w:rPr>
                <w:sz w:val="20"/>
                <w:lang w:eastAsia="ru-RU"/>
              </w:rPr>
            </w:pPr>
          </w:p>
          <w:p w:rsidR="0075791D" w:rsidRPr="00E93C8D" w:rsidRDefault="0075791D" w:rsidP="0075791D">
            <w:pPr>
              <w:widowControl w:val="0"/>
              <w:autoSpaceDE w:val="0"/>
              <w:autoSpaceDN w:val="0"/>
              <w:adjustRightInd w:val="0"/>
              <w:spacing w:after="120"/>
              <w:jc w:val="left"/>
              <w:rPr>
                <w:sz w:val="20"/>
                <w:lang w:eastAsia="ru-RU"/>
              </w:rPr>
            </w:pPr>
          </w:p>
          <w:p w:rsidR="009576BA" w:rsidRPr="009576BA" w:rsidRDefault="009576BA" w:rsidP="009576BA">
            <w:pPr>
              <w:widowControl w:val="0"/>
              <w:ind w:right="-154"/>
              <w:rPr>
                <w:sz w:val="20"/>
                <w:lang w:eastAsia="ru-RU"/>
              </w:rPr>
            </w:pPr>
            <w:r w:rsidRPr="009576BA">
              <w:rPr>
                <w:sz w:val="20"/>
                <w:lang w:eastAsia="ru-RU"/>
              </w:rPr>
              <w:t>Director for legal support – head of legal services group of companies PJSC "NCSP" Borovok E.V., acting on the basis of the power of attorney № 2110-07/424  dated 25.12.2015</w:t>
            </w:r>
          </w:p>
          <w:p w:rsidR="0075791D" w:rsidRPr="00E93C8D" w:rsidRDefault="00F24AA9" w:rsidP="00F24AA9">
            <w:pPr>
              <w:widowControl w:val="0"/>
              <w:spacing w:after="120"/>
              <w:ind w:right="851"/>
              <w:jc w:val="left"/>
              <w:rPr>
                <w:sz w:val="20"/>
                <w:lang w:val="ru-RU" w:eastAsia="ru-RU"/>
              </w:rPr>
            </w:pPr>
            <w:r w:rsidRPr="00E93C8D">
              <w:rPr>
                <w:sz w:val="20"/>
                <w:lang w:val="ru-RU"/>
              </w:rPr>
              <w:t>Директор по правовому обеспечению – руководитель юридических служб группы компаний ПАО «НМТП» Боровок Эдуард Валерьевич, действующим(ей) на основании Доверенности № 2110-07/424 от 25.12.2015 года</w:t>
            </w:r>
          </w:p>
        </w:tc>
      </w:tr>
    </w:tbl>
    <w:p w:rsidR="00415D9D" w:rsidRPr="00D93639" w:rsidRDefault="00415D9D">
      <w:pPr>
        <w:jc w:val="left"/>
        <w:rPr>
          <w:sz w:val="20"/>
          <w:lang w:val="ru-RU"/>
        </w:rPr>
      </w:pPr>
    </w:p>
    <w:sectPr w:rsidR="00415D9D" w:rsidRPr="00D93639" w:rsidSect="00E259C8">
      <w:pgSz w:w="11906" w:h="16838" w:code="9"/>
      <w:pgMar w:top="568" w:right="1134" w:bottom="709" w:left="1418" w:header="720" w:footer="2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577" w:rsidRDefault="006D6577">
      <w:r>
        <w:separator/>
      </w:r>
    </w:p>
  </w:endnote>
  <w:endnote w:type="continuationSeparator" w:id="0">
    <w:p w:rsidR="006D6577" w:rsidRDefault="006D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6BA" w:rsidRDefault="009576BA" w:rsidP="00631BF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576BA" w:rsidRDefault="009576BA" w:rsidP="00244EA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6BA" w:rsidRDefault="009576BA" w:rsidP="00CA0623">
    <w:pPr>
      <w:pStyle w:val="a5"/>
      <w:framePr w:wrap="around" w:vAnchor="page" w:hAnchor="page" w:x="10774" w:y="16166"/>
      <w:rPr>
        <w:rStyle w:val="a6"/>
      </w:rPr>
    </w:pPr>
    <w:r>
      <w:rPr>
        <w:rStyle w:val="a6"/>
      </w:rPr>
      <w:fldChar w:fldCharType="begin"/>
    </w:r>
    <w:r>
      <w:rPr>
        <w:rStyle w:val="a6"/>
      </w:rPr>
      <w:instrText xml:space="preserve">PAGE  </w:instrText>
    </w:r>
    <w:r>
      <w:rPr>
        <w:rStyle w:val="a6"/>
      </w:rPr>
      <w:fldChar w:fldCharType="separate"/>
    </w:r>
    <w:r w:rsidR="00736676">
      <w:rPr>
        <w:rStyle w:val="a6"/>
        <w:noProof/>
      </w:rPr>
      <w:t>2</w:t>
    </w:r>
    <w:r>
      <w:rPr>
        <w:rStyle w:val="a6"/>
      </w:rPr>
      <w:fldChar w:fldCharType="end"/>
    </w:r>
  </w:p>
  <w:p w:rsidR="009576BA" w:rsidRPr="007061B4" w:rsidRDefault="009576BA" w:rsidP="00BE421D">
    <w:pPr>
      <w:pStyle w:val="a5"/>
      <w:tabs>
        <w:tab w:val="clear" w:pos="9355"/>
        <w:tab w:val="right" w:pos="9639"/>
      </w:tabs>
      <w:ind w:right="-427"/>
      <w:rPr>
        <w:sz w:val="16"/>
        <w:szCs w:val="16"/>
      </w:rPr>
    </w:pPr>
    <w:r w:rsidRPr="005B1B1D">
      <w:rPr>
        <w:rFonts w:ascii="Sylfaen" w:hAnsi="Sylfaen"/>
        <w:i/>
        <w:sz w:val="16"/>
        <w:szCs w:val="16"/>
      </w:rPr>
      <w:t xml:space="preserve">                                                                                                                                                                                                            </w:t>
    </w:r>
    <w:r>
      <w:rPr>
        <w:rFonts w:ascii="Sylfaen" w:hAnsi="Sylfaen"/>
        <w:i/>
        <w:sz w:val="16"/>
        <w:szCs w:val="16"/>
      </w:rPr>
      <w:t xml:space="preserve">               </w:t>
    </w:r>
    <w:r w:rsidRPr="005B1B1D">
      <w:rPr>
        <w:rFonts w:ascii="Sylfaen" w:hAnsi="Sylfaen"/>
        <w:i/>
        <w:sz w:val="16"/>
        <w:szCs w:val="16"/>
      </w:rPr>
      <w:t xml:space="preserve">   </w:t>
    </w:r>
    <w:r w:rsidRPr="007061B4">
      <w:rPr>
        <w:rFonts w:ascii="Sylfaen" w:hAnsi="Sylfaen"/>
        <w:i/>
        <w:sz w:val="16"/>
        <w:szCs w:val="16"/>
      </w:rPr>
      <w:t>V</w:t>
    </w:r>
    <w:r>
      <w:rPr>
        <w:rFonts w:ascii="Sylfaen" w:hAnsi="Sylfaen"/>
        <w:i/>
        <w:sz w:val="16"/>
        <w:szCs w:val="16"/>
      </w:rPr>
      <w:t>0</w:t>
    </w:r>
    <w:r>
      <w:rPr>
        <w:rFonts w:ascii="Sylfaen" w:hAnsi="Sylfaen"/>
        <w:i/>
        <w:sz w:val="16"/>
        <w:szCs w:val="16"/>
        <w:lang w:val="ru-RU"/>
      </w:rPr>
      <w:t>5</w:t>
    </w:r>
    <w:r>
      <w:rPr>
        <w:rFonts w:ascii="Sylfaen" w:hAnsi="Sylfaen"/>
        <w:i/>
        <w:sz w:val="16"/>
        <w:szCs w:val="16"/>
      </w:rPr>
      <w:t>0916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6BA" w:rsidRPr="007061B4" w:rsidRDefault="009576BA" w:rsidP="00AE5234">
    <w:pPr>
      <w:pStyle w:val="a5"/>
      <w:tabs>
        <w:tab w:val="clear" w:pos="9355"/>
        <w:tab w:val="right" w:pos="9639"/>
      </w:tabs>
      <w:ind w:right="-427"/>
      <w:rPr>
        <w:sz w:val="16"/>
        <w:szCs w:val="16"/>
      </w:rPr>
    </w:pPr>
    <w:r w:rsidRPr="003C5EAB">
      <w:rPr>
        <w:rFonts w:ascii="Sylfaen" w:hAnsi="Sylfaen"/>
        <w:i/>
        <w:sz w:val="16"/>
        <w:szCs w:val="16"/>
      </w:rPr>
      <w:tab/>
    </w:r>
    <w:r w:rsidRPr="005B1B1D">
      <w:rPr>
        <w:rFonts w:ascii="Sylfaen" w:hAnsi="Sylfaen"/>
        <w:i/>
        <w:sz w:val="16"/>
        <w:szCs w:val="16"/>
      </w:rPr>
      <w:t xml:space="preserve">                                                                                                                                                                                                                </w:t>
    </w:r>
    <w:r>
      <w:rPr>
        <w:rFonts w:ascii="Sylfaen" w:hAnsi="Sylfaen"/>
        <w:i/>
        <w:sz w:val="16"/>
        <w:szCs w:val="16"/>
      </w:rPr>
      <w:t xml:space="preserve">               </w:t>
    </w:r>
    <w:r w:rsidRPr="005B1B1D">
      <w:rPr>
        <w:rFonts w:ascii="Sylfaen" w:hAnsi="Sylfaen"/>
        <w:i/>
        <w:sz w:val="16"/>
        <w:szCs w:val="16"/>
      </w:rPr>
      <w:t xml:space="preserve">   </w:t>
    </w:r>
    <w:r w:rsidRPr="007061B4">
      <w:rPr>
        <w:rFonts w:ascii="Sylfaen" w:hAnsi="Sylfaen"/>
        <w:i/>
        <w:sz w:val="16"/>
        <w:szCs w:val="16"/>
      </w:rPr>
      <w:t>V</w:t>
    </w:r>
    <w:r>
      <w:rPr>
        <w:rFonts w:ascii="Sylfaen" w:hAnsi="Sylfaen"/>
        <w:i/>
        <w:sz w:val="16"/>
        <w:szCs w:val="16"/>
      </w:rPr>
      <w:t>060616</w:t>
    </w:r>
  </w:p>
  <w:p w:rsidR="009576BA" w:rsidRDefault="009576BA" w:rsidP="00244EA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577" w:rsidRDefault="006D6577">
      <w:r>
        <w:separator/>
      </w:r>
    </w:p>
  </w:footnote>
  <w:footnote w:type="continuationSeparator" w:id="0">
    <w:p w:rsidR="006D6577" w:rsidRDefault="006D6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6BA" w:rsidRDefault="009576BA" w:rsidP="00244EA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A6F"/>
    <w:multiLevelType w:val="hybridMultilevel"/>
    <w:tmpl w:val="E500DE64"/>
    <w:lvl w:ilvl="0" w:tplc="501E1C18">
      <w:start w:val="1"/>
      <w:numFmt w:val="bullet"/>
      <w:lvlText w:val=""/>
      <w:lvlJc w:val="left"/>
      <w:pPr>
        <w:tabs>
          <w:tab w:val="num" w:pos="567"/>
        </w:tabs>
        <w:ind w:left="567" w:hanging="56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E13085"/>
    <w:multiLevelType w:val="hybridMultilevel"/>
    <w:tmpl w:val="256ADC62"/>
    <w:lvl w:ilvl="0" w:tplc="04190001">
      <w:start w:val="1"/>
      <w:numFmt w:val="bullet"/>
      <w:lvlText w:val=""/>
      <w:lvlJc w:val="left"/>
      <w:pPr>
        <w:tabs>
          <w:tab w:val="num" w:pos="540"/>
        </w:tabs>
        <w:ind w:left="540" w:hanging="360"/>
      </w:pPr>
      <w:rPr>
        <w:rFonts w:ascii="Symbol" w:hAnsi="Symbol" w:hint="default"/>
      </w:rPr>
    </w:lvl>
    <w:lvl w:ilvl="1" w:tplc="04190013">
      <w:start w:val="1"/>
      <w:numFmt w:val="upperRoman"/>
      <w:lvlText w:val="%2."/>
      <w:lvlJc w:val="right"/>
      <w:pPr>
        <w:tabs>
          <w:tab w:val="num" w:pos="1080"/>
        </w:tabs>
        <w:ind w:left="1080" w:hanging="180"/>
      </w:pPr>
      <w:rPr>
        <w:rFonts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096A687F"/>
    <w:multiLevelType w:val="hybridMultilevel"/>
    <w:tmpl w:val="4156DA06"/>
    <w:lvl w:ilvl="0" w:tplc="041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AD66324"/>
    <w:multiLevelType w:val="hybridMultilevel"/>
    <w:tmpl w:val="363055D0"/>
    <w:lvl w:ilvl="0" w:tplc="9816FA7A">
      <w:start w:val="1"/>
      <w:numFmt w:val="decimal"/>
      <w:lvlText w:val="%1)"/>
      <w:lvlJc w:val="left"/>
      <w:pPr>
        <w:ind w:left="400" w:hanging="360"/>
      </w:pPr>
      <w:rPr>
        <w:rFonts w:hint="default"/>
        <w:b w:val="0"/>
        <w:color w:val="auto"/>
        <w:sz w:val="20"/>
        <w:szCs w:val="2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nsid w:val="0F573766"/>
    <w:multiLevelType w:val="hybridMultilevel"/>
    <w:tmpl w:val="DF0E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262D6"/>
    <w:multiLevelType w:val="hybridMultilevel"/>
    <w:tmpl w:val="DF0A1FD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7B2305"/>
    <w:multiLevelType w:val="hybridMultilevel"/>
    <w:tmpl w:val="5792EBD4"/>
    <w:lvl w:ilvl="0" w:tplc="A0A6884E">
      <w:start w:val="1"/>
      <w:numFmt w:val="bullet"/>
      <w:lvlText w:val=""/>
      <w:lvlJc w:val="left"/>
      <w:pPr>
        <w:tabs>
          <w:tab w:val="num" w:pos="927"/>
        </w:tabs>
        <w:ind w:left="927" w:hanging="567"/>
      </w:pPr>
      <w:rPr>
        <w:rFonts w:ascii="Symbol" w:hAnsi="Symbol" w:hint="default"/>
        <w:color w:val="auto"/>
      </w:rPr>
    </w:lvl>
    <w:lvl w:ilvl="1" w:tplc="73CCD61C">
      <w:start w:val="1"/>
      <w:numFmt w:val="bullet"/>
      <w:lvlText w:val=""/>
      <w:lvlJc w:val="left"/>
      <w:pPr>
        <w:tabs>
          <w:tab w:val="num" w:pos="2818"/>
        </w:tabs>
        <w:ind w:left="2818" w:hanging="567"/>
      </w:pPr>
      <w:rPr>
        <w:rFonts w:ascii="Symbol" w:hAnsi="Symbol" w:hint="default"/>
        <w:color w:val="333399"/>
      </w:rPr>
    </w:lvl>
    <w:lvl w:ilvl="2" w:tplc="04190005" w:tentative="1">
      <w:start w:val="1"/>
      <w:numFmt w:val="bullet"/>
      <w:lvlText w:val=""/>
      <w:lvlJc w:val="left"/>
      <w:pPr>
        <w:tabs>
          <w:tab w:val="num" w:pos="3331"/>
        </w:tabs>
        <w:ind w:left="3331" w:hanging="360"/>
      </w:pPr>
      <w:rPr>
        <w:rFonts w:ascii="Wingdings" w:hAnsi="Wingdings" w:hint="default"/>
      </w:rPr>
    </w:lvl>
    <w:lvl w:ilvl="3" w:tplc="04190001" w:tentative="1">
      <w:start w:val="1"/>
      <w:numFmt w:val="bullet"/>
      <w:lvlText w:val=""/>
      <w:lvlJc w:val="left"/>
      <w:pPr>
        <w:tabs>
          <w:tab w:val="num" w:pos="4051"/>
        </w:tabs>
        <w:ind w:left="4051" w:hanging="360"/>
      </w:pPr>
      <w:rPr>
        <w:rFonts w:ascii="Symbol" w:hAnsi="Symbol" w:hint="default"/>
      </w:rPr>
    </w:lvl>
    <w:lvl w:ilvl="4" w:tplc="04190003" w:tentative="1">
      <w:start w:val="1"/>
      <w:numFmt w:val="bullet"/>
      <w:lvlText w:val="o"/>
      <w:lvlJc w:val="left"/>
      <w:pPr>
        <w:tabs>
          <w:tab w:val="num" w:pos="4771"/>
        </w:tabs>
        <w:ind w:left="4771" w:hanging="360"/>
      </w:pPr>
      <w:rPr>
        <w:rFonts w:ascii="Courier New" w:hAnsi="Courier New" w:cs="Courier New" w:hint="default"/>
      </w:rPr>
    </w:lvl>
    <w:lvl w:ilvl="5" w:tplc="04190005" w:tentative="1">
      <w:start w:val="1"/>
      <w:numFmt w:val="bullet"/>
      <w:lvlText w:val=""/>
      <w:lvlJc w:val="left"/>
      <w:pPr>
        <w:tabs>
          <w:tab w:val="num" w:pos="5491"/>
        </w:tabs>
        <w:ind w:left="5491" w:hanging="360"/>
      </w:pPr>
      <w:rPr>
        <w:rFonts w:ascii="Wingdings" w:hAnsi="Wingdings" w:hint="default"/>
      </w:rPr>
    </w:lvl>
    <w:lvl w:ilvl="6" w:tplc="04190001" w:tentative="1">
      <w:start w:val="1"/>
      <w:numFmt w:val="bullet"/>
      <w:lvlText w:val=""/>
      <w:lvlJc w:val="left"/>
      <w:pPr>
        <w:tabs>
          <w:tab w:val="num" w:pos="6211"/>
        </w:tabs>
        <w:ind w:left="6211" w:hanging="360"/>
      </w:pPr>
      <w:rPr>
        <w:rFonts w:ascii="Symbol" w:hAnsi="Symbol" w:hint="default"/>
      </w:rPr>
    </w:lvl>
    <w:lvl w:ilvl="7" w:tplc="04190003" w:tentative="1">
      <w:start w:val="1"/>
      <w:numFmt w:val="bullet"/>
      <w:lvlText w:val="o"/>
      <w:lvlJc w:val="left"/>
      <w:pPr>
        <w:tabs>
          <w:tab w:val="num" w:pos="6931"/>
        </w:tabs>
        <w:ind w:left="6931" w:hanging="360"/>
      </w:pPr>
      <w:rPr>
        <w:rFonts w:ascii="Courier New" w:hAnsi="Courier New" w:cs="Courier New" w:hint="default"/>
      </w:rPr>
    </w:lvl>
    <w:lvl w:ilvl="8" w:tplc="04190005" w:tentative="1">
      <w:start w:val="1"/>
      <w:numFmt w:val="bullet"/>
      <w:lvlText w:val=""/>
      <w:lvlJc w:val="left"/>
      <w:pPr>
        <w:tabs>
          <w:tab w:val="num" w:pos="7651"/>
        </w:tabs>
        <w:ind w:left="7651" w:hanging="360"/>
      </w:pPr>
      <w:rPr>
        <w:rFonts w:ascii="Wingdings" w:hAnsi="Wingdings" w:hint="default"/>
      </w:rPr>
    </w:lvl>
  </w:abstractNum>
  <w:abstractNum w:abstractNumId="7">
    <w:nsid w:val="12DB0ADE"/>
    <w:multiLevelType w:val="multilevel"/>
    <w:tmpl w:val="FCDACE14"/>
    <w:lvl w:ilvl="0">
      <w:start w:val="1"/>
      <w:numFmt w:val="upperRoman"/>
      <w:pStyle w:val="1"/>
      <w:lvlText w:val="%1."/>
      <w:lvlJc w:val="left"/>
      <w:pPr>
        <w:tabs>
          <w:tab w:val="num" w:pos="720"/>
        </w:tabs>
        <w:ind w:left="510" w:hanging="510"/>
      </w:pPr>
      <w:rPr>
        <w:rFonts w:ascii="Arial" w:hAnsi="Arial" w:cs="Arial" w:hint="default"/>
        <w:b/>
        <w:i/>
        <w:sz w:val="22"/>
      </w:rPr>
    </w:lvl>
    <w:lvl w:ilvl="1">
      <w:start w:val="3"/>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637711B"/>
    <w:multiLevelType w:val="multilevel"/>
    <w:tmpl w:val="1EF6149A"/>
    <w:styleLink w:val="SpecialRight02"/>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7)"/>
      <w:lvlJc w:val="left"/>
      <w:pPr>
        <w:tabs>
          <w:tab w:val="num" w:pos="397"/>
        </w:tabs>
        <w:ind w:left="397" w:hanging="397"/>
      </w:pPr>
      <w:rPr>
        <w:rFonts w:hint="default"/>
        <w:b w:val="0"/>
        <w:i w:val="0"/>
        <w:sz w:val="22"/>
        <w:szCs w:val="22"/>
      </w:rPr>
    </w:lvl>
    <w:lvl w:ilvl="7">
      <w:start w:val="1"/>
      <w:numFmt w:val="russianLower"/>
      <w:lvlText w:val="%8)"/>
      <w:lvlJc w:val="left"/>
      <w:pPr>
        <w:tabs>
          <w:tab w:val="num" w:pos="340"/>
        </w:tabs>
        <w:ind w:left="340" w:hanging="340"/>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9">
    <w:nsid w:val="16E749DA"/>
    <w:multiLevelType w:val="hybridMultilevel"/>
    <w:tmpl w:val="1FA2D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7717FFC"/>
    <w:multiLevelType w:val="hybridMultilevel"/>
    <w:tmpl w:val="9C42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607A8"/>
    <w:multiLevelType w:val="hybridMultilevel"/>
    <w:tmpl w:val="B7861A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AFD10ED"/>
    <w:multiLevelType w:val="multilevel"/>
    <w:tmpl w:val="753AC8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D96B43"/>
    <w:multiLevelType w:val="multilevel"/>
    <w:tmpl w:val="1EF6149A"/>
    <w:styleLink w:val="SpecialLeft02"/>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7)"/>
      <w:lvlJc w:val="left"/>
      <w:pPr>
        <w:tabs>
          <w:tab w:val="num" w:pos="397"/>
        </w:tabs>
        <w:ind w:left="397" w:hanging="397"/>
      </w:pPr>
      <w:rPr>
        <w:rFonts w:hint="default"/>
        <w:b w:val="0"/>
        <w:i w:val="0"/>
        <w:sz w:val="22"/>
        <w:szCs w:val="22"/>
      </w:rPr>
    </w:lvl>
    <w:lvl w:ilvl="7">
      <w:start w:val="1"/>
      <w:numFmt w:val="russianLower"/>
      <w:lvlText w:val="%8)"/>
      <w:lvlJc w:val="left"/>
      <w:pPr>
        <w:tabs>
          <w:tab w:val="num" w:pos="340"/>
        </w:tabs>
        <w:ind w:left="340" w:hanging="340"/>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4">
    <w:nsid w:val="1D4812FB"/>
    <w:multiLevelType w:val="hybridMultilevel"/>
    <w:tmpl w:val="C4044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FA7D6F"/>
    <w:multiLevelType w:val="hybridMultilevel"/>
    <w:tmpl w:val="170459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B84915"/>
    <w:multiLevelType w:val="hybridMultilevel"/>
    <w:tmpl w:val="D892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627AA3"/>
    <w:multiLevelType w:val="hybridMultilevel"/>
    <w:tmpl w:val="C414E2E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1333454"/>
    <w:multiLevelType w:val="hybridMultilevel"/>
    <w:tmpl w:val="2DBE4280"/>
    <w:lvl w:ilvl="0" w:tplc="DFAA3BF2">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2814A07"/>
    <w:multiLevelType w:val="singleLevel"/>
    <w:tmpl w:val="1ADCC058"/>
    <w:lvl w:ilvl="0">
      <w:start w:val="1"/>
      <w:numFmt w:val="bullet"/>
      <w:pStyle w:val="Bullet1"/>
      <w:lvlText w:val=""/>
      <w:lvlJc w:val="left"/>
      <w:pPr>
        <w:tabs>
          <w:tab w:val="num" w:pos="737"/>
        </w:tabs>
        <w:ind w:left="737" w:hanging="397"/>
      </w:pPr>
      <w:rPr>
        <w:rFonts w:ascii="Symbol" w:hAnsi="Symbol" w:hint="default"/>
        <w:sz w:val="20"/>
      </w:rPr>
    </w:lvl>
  </w:abstractNum>
  <w:abstractNum w:abstractNumId="20">
    <w:nsid w:val="36AB04CA"/>
    <w:multiLevelType w:val="hybridMultilevel"/>
    <w:tmpl w:val="ECE815C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3B5606F7"/>
    <w:multiLevelType w:val="hybridMultilevel"/>
    <w:tmpl w:val="AF84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991E4F"/>
    <w:multiLevelType w:val="hybridMultilevel"/>
    <w:tmpl w:val="D2F6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790468"/>
    <w:multiLevelType w:val="hybridMultilevel"/>
    <w:tmpl w:val="79CA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EE065F"/>
    <w:multiLevelType w:val="hybridMultilevel"/>
    <w:tmpl w:val="1AA45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B57742"/>
    <w:multiLevelType w:val="hybridMultilevel"/>
    <w:tmpl w:val="5326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47300F"/>
    <w:multiLevelType w:val="hybridMultilevel"/>
    <w:tmpl w:val="BBB6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FB73AA"/>
    <w:multiLevelType w:val="hybridMultilevel"/>
    <w:tmpl w:val="170459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F22F4E"/>
    <w:multiLevelType w:val="hybridMultilevel"/>
    <w:tmpl w:val="CDE42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0C2417"/>
    <w:multiLevelType w:val="hybridMultilevel"/>
    <w:tmpl w:val="9CC4881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0">
    <w:nsid w:val="50935F76"/>
    <w:multiLevelType w:val="hybridMultilevel"/>
    <w:tmpl w:val="C5340AB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BC43AE"/>
    <w:multiLevelType w:val="hybridMultilevel"/>
    <w:tmpl w:val="38D4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659D9"/>
    <w:multiLevelType w:val="hybridMultilevel"/>
    <w:tmpl w:val="EEB8B7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6234CC8"/>
    <w:multiLevelType w:val="hybridMultilevel"/>
    <w:tmpl w:val="90F0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647F37"/>
    <w:multiLevelType w:val="hybridMultilevel"/>
    <w:tmpl w:val="D340DA7E"/>
    <w:lvl w:ilvl="0" w:tplc="9CA2A2CC">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66F1C49"/>
    <w:multiLevelType w:val="hybridMultilevel"/>
    <w:tmpl w:val="AA46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DF7DF6"/>
    <w:multiLevelType w:val="hybridMultilevel"/>
    <w:tmpl w:val="5AF6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CD0F14"/>
    <w:multiLevelType w:val="hybridMultilevel"/>
    <w:tmpl w:val="43EE9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A524A2E"/>
    <w:multiLevelType w:val="hybridMultilevel"/>
    <w:tmpl w:val="2F4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CB21EF"/>
    <w:multiLevelType w:val="hybridMultilevel"/>
    <w:tmpl w:val="140C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520B67"/>
    <w:multiLevelType w:val="hybridMultilevel"/>
    <w:tmpl w:val="2AAC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DC1E84"/>
    <w:multiLevelType w:val="hybridMultilevel"/>
    <w:tmpl w:val="C414E2E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61049F9"/>
    <w:multiLevelType w:val="hybridMultilevel"/>
    <w:tmpl w:val="4BE4B8A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FD12FD"/>
    <w:multiLevelType w:val="hybridMultilevel"/>
    <w:tmpl w:val="464EAF20"/>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0D035F3"/>
    <w:multiLevelType w:val="hybridMultilevel"/>
    <w:tmpl w:val="8E68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AA28FA"/>
    <w:multiLevelType w:val="hybridMultilevel"/>
    <w:tmpl w:val="7F5EB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ED751D"/>
    <w:multiLevelType w:val="hybridMultilevel"/>
    <w:tmpl w:val="68088138"/>
    <w:lvl w:ilvl="0" w:tplc="5420E15C">
      <w:start w:val="1"/>
      <w:numFmt w:val="bullet"/>
      <w:lvlText w:val=""/>
      <w:lvlJc w:val="left"/>
      <w:pPr>
        <w:tabs>
          <w:tab w:val="num" w:pos="927"/>
        </w:tabs>
        <w:ind w:left="927" w:hanging="567"/>
      </w:pPr>
      <w:rPr>
        <w:rFonts w:ascii="Symbol" w:hAnsi="Symbol" w:hint="default"/>
        <w:color w:val="auto"/>
      </w:rPr>
    </w:lvl>
    <w:lvl w:ilvl="1" w:tplc="73CCD61C">
      <w:start w:val="1"/>
      <w:numFmt w:val="bullet"/>
      <w:lvlText w:val=""/>
      <w:lvlJc w:val="left"/>
      <w:pPr>
        <w:tabs>
          <w:tab w:val="num" w:pos="2818"/>
        </w:tabs>
        <w:ind w:left="2818" w:hanging="567"/>
      </w:pPr>
      <w:rPr>
        <w:rFonts w:ascii="Symbol" w:hAnsi="Symbol" w:hint="default"/>
        <w:color w:val="333399"/>
      </w:rPr>
    </w:lvl>
    <w:lvl w:ilvl="2" w:tplc="04190005" w:tentative="1">
      <w:start w:val="1"/>
      <w:numFmt w:val="bullet"/>
      <w:lvlText w:val=""/>
      <w:lvlJc w:val="left"/>
      <w:pPr>
        <w:tabs>
          <w:tab w:val="num" w:pos="3331"/>
        </w:tabs>
        <w:ind w:left="3331" w:hanging="360"/>
      </w:pPr>
      <w:rPr>
        <w:rFonts w:ascii="Wingdings" w:hAnsi="Wingdings" w:hint="default"/>
      </w:rPr>
    </w:lvl>
    <w:lvl w:ilvl="3" w:tplc="04190001" w:tentative="1">
      <w:start w:val="1"/>
      <w:numFmt w:val="bullet"/>
      <w:lvlText w:val=""/>
      <w:lvlJc w:val="left"/>
      <w:pPr>
        <w:tabs>
          <w:tab w:val="num" w:pos="4051"/>
        </w:tabs>
        <w:ind w:left="4051" w:hanging="360"/>
      </w:pPr>
      <w:rPr>
        <w:rFonts w:ascii="Symbol" w:hAnsi="Symbol" w:hint="default"/>
      </w:rPr>
    </w:lvl>
    <w:lvl w:ilvl="4" w:tplc="04190003" w:tentative="1">
      <w:start w:val="1"/>
      <w:numFmt w:val="bullet"/>
      <w:lvlText w:val="o"/>
      <w:lvlJc w:val="left"/>
      <w:pPr>
        <w:tabs>
          <w:tab w:val="num" w:pos="4771"/>
        </w:tabs>
        <w:ind w:left="4771" w:hanging="360"/>
      </w:pPr>
      <w:rPr>
        <w:rFonts w:ascii="Courier New" w:hAnsi="Courier New" w:cs="Courier New" w:hint="default"/>
      </w:rPr>
    </w:lvl>
    <w:lvl w:ilvl="5" w:tplc="04190005" w:tentative="1">
      <w:start w:val="1"/>
      <w:numFmt w:val="bullet"/>
      <w:lvlText w:val=""/>
      <w:lvlJc w:val="left"/>
      <w:pPr>
        <w:tabs>
          <w:tab w:val="num" w:pos="5491"/>
        </w:tabs>
        <w:ind w:left="5491" w:hanging="360"/>
      </w:pPr>
      <w:rPr>
        <w:rFonts w:ascii="Wingdings" w:hAnsi="Wingdings" w:hint="default"/>
      </w:rPr>
    </w:lvl>
    <w:lvl w:ilvl="6" w:tplc="04190001" w:tentative="1">
      <w:start w:val="1"/>
      <w:numFmt w:val="bullet"/>
      <w:lvlText w:val=""/>
      <w:lvlJc w:val="left"/>
      <w:pPr>
        <w:tabs>
          <w:tab w:val="num" w:pos="6211"/>
        </w:tabs>
        <w:ind w:left="6211" w:hanging="360"/>
      </w:pPr>
      <w:rPr>
        <w:rFonts w:ascii="Symbol" w:hAnsi="Symbol" w:hint="default"/>
      </w:rPr>
    </w:lvl>
    <w:lvl w:ilvl="7" w:tplc="04190003" w:tentative="1">
      <w:start w:val="1"/>
      <w:numFmt w:val="bullet"/>
      <w:lvlText w:val="o"/>
      <w:lvlJc w:val="left"/>
      <w:pPr>
        <w:tabs>
          <w:tab w:val="num" w:pos="6931"/>
        </w:tabs>
        <w:ind w:left="6931" w:hanging="360"/>
      </w:pPr>
      <w:rPr>
        <w:rFonts w:ascii="Courier New" w:hAnsi="Courier New" w:cs="Courier New" w:hint="default"/>
      </w:rPr>
    </w:lvl>
    <w:lvl w:ilvl="8" w:tplc="04190005" w:tentative="1">
      <w:start w:val="1"/>
      <w:numFmt w:val="bullet"/>
      <w:lvlText w:val=""/>
      <w:lvlJc w:val="left"/>
      <w:pPr>
        <w:tabs>
          <w:tab w:val="num" w:pos="7651"/>
        </w:tabs>
        <w:ind w:left="7651" w:hanging="360"/>
      </w:pPr>
      <w:rPr>
        <w:rFonts w:ascii="Wingdings" w:hAnsi="Wingdings" w:hint="default"/>
      </w:rPr>
    </w:lvl>
  </w:abstractNum>
  <w:abstractNum w:abstractNumId="47">
    <w:nsid w:val="79CB42A3"/>
    <w:multiLevelType w:val="hybridMultilevel"/>
    <w:tmpl w:val="2DBE4280"/>
    <w:lvl w:ilvl="0" w:tplc="DFAA3BF2">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A1B27E8"/>
    <w:multiLevelType w:val="hybridMultilevel"/>
    <w:tmpl w:val="6E288F34"/>
    <w:lvl w:ilvl="0" w:tplc="04190001">
      <w:start w:val="1"/>
      <w:numFmt w:val="bullet"/>
      <w:lvlText w:val=""/>
      <w:lvlJc w:val="left"/>
      <w:pPr>
        <w:tabs>
          <w:tab w:val="num" w:pos="360"/>
        </w:tabs>
        <w:ind w:left="360" w:hanging="360"/>
      </w:pPr>
      <w:rPr>
        <w:rFonts w:ascii="Symbol" w:hAnsi="Symbol" w:hint="default"/>
      </w:rPr>
    </w:lvl>
    <w:lvl w:ilvl="1" w:tplc="EA102418">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7E2822AD"/>
    <w:multiLevelType w:val="hybridMultilevel"/>
    <w:tmpl w:val="D340DA7E"/>
    <w:lvl w:ilvl="0" w:tplc="9CA2A2CC">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7"/>
  </w:num>
  <w:num w:numId="3">
    <w:abstractNumId w:val="8"/>
  </w:num>
  <w:num w:numId="4">
    <w:abstractNumId w:val="13"/>
  </w:num>
  <w:num w:numId="5">
    <w:abstractNumId w:val="28"/>
  </w:num>
  <w:num w:numId="6">
    <w:abstractNumId w:val="19"/>
  </w:num>
  <w:num w:numId="7">
    <w:abstractNumId w:val="47"/>
  </w:num>
  <w:num w:numId="8">
    <w:abstractNumId w:val="49"/>
  </w:num>
  <w:num w:numId="9">
    <w:abstractNumId w:val="27"/>
  </w:num>
  <w:num w:numId="10">
    <w:abstractNumId w:val="0"/>
  </w:num>
  <w:num w:numId="11">
    <w:abstractNumId w:val="46"/>
  </w:num>
  <w:num w:numId="12">
    <w:abstractNumId w:val="40"/>
  </w:num>
  <w:num w:numId="13">
    <w:abstractNumId w:val="6"/>
  </w:num>
  <w:num w:numId="14">
    <w:abstractNumId w:val="38"/>
  </w:num>
  <w:num w:numId="15">
    <w:abstractNumId w:val="33"/>
  </w:num>
  <w:num w:numId="16">
    <w:abstractNumId w:val="22"/>
  </w:num>
  <w:num w:numId="17">
    <w:abstractNumId w:val="23"/>
  </w:num>
  <w:num w:numId="18">
    <w:abstractNumId w:val="31"/>
  </w:num>
  <w:num w:numId="19">
    <w:abstractNumId w:val="35"/>
  </w:num>
  <w:num w:numId="20">
    <w:abstractNumId w:val="32"/>
  </w:num>
  <w:num w:numId="21">
    <w:abstractNumId w:val="24"/>
  </w:num>
  <w:num w:numId="22">
    <w:abstractNumId w:val="30"/>
  </w:num>
  <w:num w:numId="23">
    <w:abstractNumId w:val="11"/>
  </w:num>
  <w:num w:numId="24">
    <w:abstractNumId w:val="14"/>
  </w:num>
  <w:num w:numId="25">
    <w:abstractNumId w:val="44"/>
  </w:num>
  <w:num w:numId="26">
    <w:abstractNumId w:val="5"/>
  </w:num>
  <w:num w:numId="27">
    <w:abstractNumId w:val="45"/>
  </w:num>
  <w:num w:numId="28">
    <w:abstractNumId w:val="26"/>
  </w:num>
  <w:num w:numId="29">
    <w:abstractNumId w:val="42"/>
  </w:num>
  <w:num w:numId="30">
    <w:abstractNumId w:val="1"/>
  </w:num>
  <w:num w:numId="31">
    <w:abstractNumId w:val="29"/>
  </w:num>
  <w:num w:numId="32">
    <w:abstractNumId w:val="43"/>
  </w:num>
  <w:num w:numId="33">
    <w:abstractNumId w:val="48"/>
  </w:num>
  <w:num w:numId="34">
    <w:abstractNumId w:val="12"/>
  </w:num>
  <w:num w:numId="35">
    <w:abstractNumId w:val="37"/>
  </w:num>
  <w:num w:numId="36">
    <w:abstractNumId w:val="20"/>
  </w:num>
  <w:num w:numId="37">
    <w:abstractNumId w:val="3"/>
  </w:num>
  <w:num w:numId="38">
    <w:abstractNumId w:val="39"/>
  </w:num>
  <w:num w:numId="39">
    <w:abstractNumId w:val="16"/>
  </w:num>
  <w:num w:numId="40">
    <w:abstractNumId w:val="18"/>
  </w:num>
  <w:num w:numId="41">
    <w:abstractNumId w:val="41"/>
  </w:num>
  <w:num w:numId="42">
    <w:abstractNumId w:val="34"/>
  </w:num>
  <w:num w:numId="43">
    <w:abstractNumId w:val="15"/>
  </w:num>
  <w:num w:numId="44">
    <w:abstractNumId w:val="25"/>
  </w:num>
  <w:num w:numId="45">
    <w:abstractNumId w:val="10"/>
  </w:num>
  <w:num w:numId="46">
    <w:abstractNumId w:val="21"/>
  </w:num>
  <w:num w:numId="47">
    <w:abstractNumId w:val="4"/>
  </w:num>
  <w:num w:numId="48">
    <w:abstractNumId w:val="36"/>
  </w:num>
  <w:num w:numId="49">
    <w:abstractNumId w:val="2"/>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19"/>
    <w:rsid w:val="00001020"/>
    <w:rsid w:val="00005DE6"/>
    <w:rsid w:val="00006D90"/>
    <w:rsid w:val="00007C7E"/>
    <w:rsid w:val="00010672"/>
    <w:rsid w:val="0001518E"/>
    <w:rsid w:val="00020994"/>
    <w:rsid w:val="00023FE2"/>
    <w:rsid w:val="000253D3"/>
    <w:rsid w:val="00026E1D"/>
    <w:rsid w:val="0003063A"/>
    <w:rsid w:val="00030AD2"/>
    <w:rsid w:val="00032093"/>
    <w:rsid w:val="00034FC4"/>
    <w:rsid w:val="00035F07"/>
    <w:rsid w:val="00036F42"/>
    <w:rsid w:val="00037918"/>
    <w:rsid w:val="0004293F"/>
    <w:rsid w:val="000450AE"/>
    <w:rsid w:val="000451B5"/>
    <w:rsid w:val="00045932"/>
    <w:rsid w:val="000550EC"/>
    <w:rsid w:val="000552FA"/>
    <w:rsid w:val="00060645"/>
    <w:rsid w:val="00063146"/>
    <w:rsid w:val="00063527"/>
    <w:rsid w:val="0006795C"/>
    <w:rsid w:val="000705DD"/>
    <w:rsid w:val="00070879"/>
    <w:rsid w:val="00072DED"/>
    <w:rsid w:val="00073A76"/>
    <w:rsid w:val="0007770C"/>
    <w:rsid w:val="0008207D"/>
    <w:rsid w:val="000878EE"/>
    <w:rsid w:val="000915C6"/>
    <w:rsid w:val="000917B6"/>
    <w:rsid w:val="00091B16"/>
    <w:rsid w:val="00091FC7"/>
    <w:rsid w:val="0009379D"/>
    <w:rsid w:val="000943D5"/>
    <w:rsid w:val="00094589"/>
    <w:rsid w:val="00094ADE"/>
    <w:rsid w:val="00095211"/>
    <w:rsid w:val="000A0E6D"/>
    <w:rsid w:val="000A14D4"/>
    <w:rsid w:val="000A2D4E"/>
    <w:rsid w:val="000A4FE1"/>
    <w:rsid w:val="000A59D2"/>
    <w:rsid w:val="000B2BB2"/>
    <w:rsid w:val="000B3D00"/>
    <w:rsid w:val="000B6A7F"/>
    <w:rsid w:val="000B7305"/>
    <w:rsid w:val="000C13A3"/>
    <w:rsid w:val="000C209F"/>
    <w:rsid w:val="000C75C2"/>
    <w:rsid w:val="000D0765"/>
    <w:rsid w:val="000D0AE7"/>
    <w:rsid w:val="000D198D"/>
    <w:rsid w:val="000D4BF5"/>
    <w:rsid w:val="000D4DAA"/>
    <w:rsid w:val="000D5951"/>
    <w:rsid w:val="000D6CBE"/>
    <w:rsid w:val="000D766E"/>
    <w:rsid w:val="000D7850"/>
    <w:rsid w:val="000D7FB1"/>
    <w:rsid w:val="000E0401"/>
    <w:rsid w:val="000E0E07"/>
    <w:rsid w:val="000E187B"/>
    <w:rsid w:val="000E37C9"/>
    <w:rsid w:val="000E39F6"/>
    <w:rsid w:val="000E4476"/>
    <w:rsid w:val="000E4EF5"/>
    <w:rsid w:val="000E5DC8"/>
    <w:rsid w:val="000F1D66"/>
    <w:rsid w:val="000F29E9"/>
    <w:rsid w:val="000F3B19"/>
    <w:rsid w:val="000F51C3"/>
    <w:rsid w:val="000F6689"/>
    <w:rsid w:val="000F69E5"/>
    <w:rsid w:val="00100D9B"/>
    <w:rsid w:val="00101CA4"/>
    <w:rsid w:val="00101D11"/>
    <w:rsid w:val="00105875"/>
    <w:rsid w:val="00106AEF"/>
    <w:rsid w:val="00106BEF"/>
    <w:rsid w:val="00106F44"/>
    <w:rsid w:val="00107DDA"/>
    <w:rsid w:val="00110751"/>
    <w:rsid w:val="00110B7C"/>
    <w:rsid w:val="0011136C"/>
    <w:rsid w:val="001113E7"/>
    <w:rsid w:val="00112126"/>
    <w:rsid w:val="0011615F"/>
    <w:rsid w:val="00116BF9"/>
    <w:rsid w:val="00122615"/>
    <w:rsid w:val="00124576"/>
    <w:rsid w:val="00125807"/>
    <w:rsid w:val="001269A8"/>
    <w:rsid w:val="0013214D"/>
    <w:rsid w:val="001336D9"/>
    <w:rsid w:val="0013399B"/>
    <w:rsid w:val="00133A0D"/>
    <w:rsid w:val="00137683"/>
    <w:rsid w:val="001509BE"/>
    <w:rsid w:val="00151ABF"/>
    <w:rsid w:val="0015228C"/>
    <w:rsid w:val="0015613C"/>
    <w:rsid w:val="00157D30"/>
    <w:rsid w:val="0016192D"/>
    <w:rsid w:val="001623A6"/>
    <w:rsid w:val="00162547"/>
    <w:rsid w:val="00162F8E"/>
    <w:rsid w:val="00162FCE"/>
    <w:rsid w:val="00163547"/>
    <w:rsid w:val="00163599"/>
    <w:rsid w:val="00164544"/>
    <w:rsid w:val="001736CE"/>
    <w:rsid w:val="001742CA"/>
    <w:rsid w:val="0017721B"/>
    <w:rsid w:val="00180C4B"/>
    <w:rsid w:val="00182FAC"/>
    <w:rsid w:val="00187779"/>
    <w:rsid w:val="0018797E"/>
    <w:rsid w:val="00194EB9"/>
    <w:rsid w:val="00196DED"/>
    <w:rsid w:val="001A04A7"/>
    <w:rsid w:val="001A22BE"/>
    <w:rsid w:val="001A3353"/>
    <w:rsid w:val="001A34D7"/>
    <w:rsid w:val="001A3999"/>
    <w:rsid w:val="001A3B93"/>
    <w:rsid w:val="001A3EEC"/>
    <w:rsid w:val="001A475F"/>
    <w:rsid w:val="001A6B6E"/>
    <w:rsid w:val="001A6B70"/>
    <w:rsid w:val="001A7E33"/>
    <w:rsid w:val="001B1AF7"/>
    <w:rsid w:val="001B201B"/>
    <w:rsid w:val="001B61B8"/>
    <w:rsid w:val="001B7026"/>
    <w:rsid w:val="001C0C78"/>
    <w:rsid w:val="001C1D96"/>
    <w:rsid w:val="001C3207"/>
    <w:rsid w:val="001C5B20"/>
    <w:rsid w:val="001D11A5"/>
    <w:rsid w:val="001D2EC6"/>
    <w:rsid w:val="001D6AEB"/>
    <w:rsid w:val="001E12D5"/>
    <w:rsid w:val="001E17C6"/>
    <w:rsid w:val="001E2EFE"/>
    <w:rsid w:val="001E4B71"/>
    <w:rsid w:val="001E55BD"/>
    <w:rsid w:val="001E5FC9"/>
    <w:rsid w:val="001F2E0D"/>
    <w:rsid w:val="001F4442"/>
    <w:rsid w:val="001F4F42"/>
    <w:rsid w:val="001F727C"/>
    <w:rsid w:val="002049E2"/>
    <w:rsid w:val="002128DD"/>
    <w:rsid w:val="00213668"/>
    <w:rsid w:val="00213D49"/>
    <w:rsid w:val="00214D96"/>
    <w:rsid w:val="00215DAA"/>
    <w:rsid w:val="00217BAF"/>
    <w:rsid w:val="002240DD"/>
    <w:rsid w:val="00224BD8"/>
    <w:rsid w:val="0022539E"/>
    <w:rsid w:val="00226A00"/>
    <w:rsid w:val="002279C6"/>
    <w:rsid w:val="00230139"/>
    <w:rsid w:val="002314B2"/>
    <w:rsid w:val="002331C0"/>
    <w:rsid w:val="002344F4"/>
    <w:rsid w:val="00242C66"/>
    <w:rsid w:val="002439E6"/>
    <w:rsid w:val="00244EAB"/>
    <w:rsid w:val="002457B1"/>
    <w:rsid w:val="00246165"/>
    <w:rsid w:val="002545EE"/>
    <w:rsid w:val="00256420"/>
    <w:rsid w:val="00260EDE"/>
    <w:rsid w:val="002611D7"/>
    <w:rsid w:val="00264159"/>
    <w:rsid w:val="00264EB4"/>
    <w:rsid w:val="0026660A"/>
    <w:rsid w:val="00272535"/>
    <w:rsid w:val="0027514A"/>
    <w:rsid w:val="00275E74"/>
    <w:rsid w:val="002816AD"/>
    <w:rsid w:val="00281A5E"/>
    <w:rsid w:val="002823E0"/>
    <w:rsid w:val="00285D4B"/>
    <w:rsid w:val="0028643D"/>
    <w:rsid w:val="00290F20"/>
    <w:rsid w:val="00294C00"/>
    <w:rsid w:val="00295CB4"/>
    <w:rsid w:val="00295D54"/>
    <w:rsid w:val="00296E10"/>
    <w:rsid w:val="0029786F"/>
    <w:rsid w:val="00297AED"/>
    <w:rsid w:val="002A0918"/>
    <w:rsid w:val="002A1083"/>
    <w:rsid w:val="002A1B10"/>
    <w:rsid w:val="002A67B2"/>
    <w:rsid w:val="002A6B39"/>
    <w:rsid w:val="002A6C1F"/>
    <w:rsid w:val="002B6C50"/>
    <w:rsid w:val="002B6EE9"/>
    <w:rsid w:val="002C20F0"/>
    <w:rsid w:val="002C2200"/>
    <w:rsid w:val="002C2EC6"/>
    <w:rsid w:val="002C2F9B"/>
    <w:rsid w:val="002C354D"/>
    <w:rsid w:val="002C38DB"/>
    <w:rsid w:val="002C44C3"/>
    <w:rsid w:val="002C646D"/>
    <w:rsid w:val="002C6668"/>
    <w:rsid w:val="002C7AB7"/>
    <w:rsid w:val="002D1E10"/>
    <w:rsid w:val="002D2545"/>
    <w:rsid w:val="002D50AC"/>
    <w:rsid w:val="002D53EC"/>
    <w:rsid w:val="002D7601"/>
    <w:rsid w:val="002D7DF9"/>
    <w:rsid w:val="002E3DD5"/>
    <w:rsid w:val="002E5706"/>
    <w:rsid w:val="002F050F"/>
    <w:rsid w:val="002F0BCD"/>
    <w:rsid w:val="002F2345"/>
    <w:rsid w:val="002F24CD"/>
    <w:rsid w:val="002F274C"/>
    <w:rsid w:val="002F3CEA"/>
    <w:rsid w:val="002F4BB9"/>
    <w:rsid w:val="002F62D2"/>
    <w:rsid w:val="002F749A"/>
    <w:rsid w:val="00302B80"/>
    <w:rsid w:val="00307515"/>
    <w:rsid w:val="00310A2E"/>
    <w:rsid w:val="0031502B"/>
    <w:rsid w:val="00320525"/>
    <w:rsid w:val="00322C49"/>
    <w:rsid w:val="003248A3"/>
    <w:rsid w:val="003270BC"/>
    <w:rsid w:val="00330A06"/>
    <w:rsid w:val="00332412"/>
    <w:rsid w:val="00332B81"/>
    <w:rsid w:val="00334C66"/>
    <w:rsid w:val="0033529D"/>
    <w:rsid w:val="003357C8"/>
    <w:rsid w:val="003371FF"/>
    <w:rsid w:val="0033756E"/>
    <w:rsid w:val="003408D3"/>
    <w:rsid w:val="00342F95"/>
    <w:rsid w:val="00343566"/>
    <w:rsid w:val="00343D67"/>
    <w:rsid w:val="0034485A"/>
    <w:rsid w:val="00346231"/>
    <w:rsid w:val="003500AE"/>
    <w:rsid w:val="00351DB6"/>
    <w:rsid w:val="0035458F"/>
    <w:rsid w:val="003546F3"/>
    <w:rsid w:val="00355B08"/>
    <w:rsid w:val="00356228"/>
    <w:rsid w:val="003572A4"/>
    <w:rsid w:val="00357374"/>
    <w:rsid w:val="00360166"/>
    <w:rsid w:val="00362051"/>
    <w:rsid w:val="0036330E"/>
    <w:rsid w:val="0036345C"/>
    <w:rsid w:val="003638D8"/>
    <w:rsid w:val="0037018C"/>
    <w:rsid w:val="00370C75"/>
    <w:rsid w:val="00375396"/>
    <w:rsid w:val="003754FB"/>
    <w:rsid w:val="003810DA"/>
    <w:rsid w:val="003837B1"/>
    <w:rsid w:val="003908C4"/>
    <w:rsid w:val="003972B1"/>
    <w:rsid w:val="003974CD"/>
    <w:rsid w:val="003A010C"/>
    <w:rsid w:val="003A07F6"/>
    <w:rsid w:val="003A229E"/>
    <w:rsid w:val="003A2978"/>
    <w:rsid w:val="003A2D65"/>
    <w:rsid w:val="003A73D7"/>
    <w:rsid w:val="003B0ED6"/>
    <w:rsid w:val="003B5762"/>
    <w:rsid w:val="003C0AE0"/>
    <w:rsid w:val="003C11AF"/>
    <w:rsid w:val="003C1549"/>
    <w:rsid w:val="003C1FA4"/>
    <w:rsid w:val="003C346D"/>
    <w:rsid w:val="003C6570"/>
    <w:rsid w:val="003C687A"/>
    <w:rsid w:val="003C7293"/>
    <w:rsid w:val="003D0B1C"/>
    <w:rsid w:val="003D0CCB"/>
    <w:rsid w:val="003D106F"/>
    <w:rsid w:val="003D14FB"/>
    <w:rsid w:val="003D19FC"/>
    <w:rsid w:val="003D235C"/>
    <w:rsid w:val="003D5537"/>
    <w:rsid w:val="003D6CF5"/>
    <w:rsid w:val="003D72E6"/>
    <w:rsid w:val="003E124E"/>
    <w:rsid w:val="003E4955"/>
    <w:rsid w:val="003E7E2B"/>
    <w:rsid w:val="003F3313"/>
    <w:rsid w:val="003F46E1"/>
    <w:rsid w:val="003F478E"/>
    <w:rsid w:val="003F5997"/>
    <w:rsid w:val="003F5C77"/>
    <w:rsid w:val="003F7D58"/>
    <w:rsid w:val="0040018A"/>
    <w:rsid w:val="004006C4"/>
    <w:rsid w:val="00400BBC"/>
    <w:rsid w:val="00401A3D"/>
    <w:rsid w:val="00402E1A"/>
    <w:rsid w:val="004039D1"/>
    <w:rsid w:val="00403B88"/>
    <w:rsid w:val="00406947"/>
    <w:rsid w:val="00413FBC"/>
    <w:rsid w:val="00415D9D"/>
    <w:rsid w:val="0042118C"/>
    <w:rsid w:val="00423FA3"/>
    <w:rsid w:val="004248C2"/>
    <w:rsid w:val="00425089"/>
    <w:rsid w:val="00433CC7"/>
    <w:rsid w:val="00435F7C"/>
    <w:rsid w:val="004378AC"/>
    <w:rsid w:val="00440A97"/>
    <w:rsid w:val="00441071"/>
    <w:rsid w:val="004413DF"/>
    <w:rsid w:val="004425A2"/>
    <w:rsid w:val="00444DA5"/>
    <w:rsid w:val="00444EB2"/>
    <w:rsid w:val="004455B4"/>
    <w:rsid w:val="00445A47"/>
    <w:rsid w:val="00451A94"/>
    <w:rsid w:val="00451FBD"/>
    <w:rsid w:val="00452953"/>
    <w:rsid w:val="00452EDE"/>
    <w:rsid w:val="0045332E"/>
    <w:rsid w:val="004547B1"/>
    <w:rsid w:val="004558EF"/>
    <w:rsid w:val="00457346"/>
    <w:rsid w:val="00457D67"/>
    <w:rsid w:val="00457E48"/>
    <w:rsid w:val="004614AE"/>
    <w:rsid w:val="004622D7"/>
    <w:rsid w:val="00463FA4"/>
    <w:rsid w:val="00466A81"/>
    <w:rsid w:val="00466FFF"/>
    <w:rsid w:val="00467B96"/>
    <w:rsid w:val="00467E4F"/>
    <w:rsid w:val="0047293C"/>
    <w:rsid w:val="00473EB7"/>
    <w:rsid w:val="00474FAF"/>
    <w:rsid w:val="0047665B"/>
    <w:rsid w:val="004806AD"/>
    <w:rsid w:val="00481395"/>
    <w:rsid w:val="004817F9"/>
    <w:rsid w:val="00482E64"/>
    <w:rsid w:val="004833AA"/>
    <w:rsid w:val="00483A61"/>
    <w:rsid w:val="00483E5A"/>
    <w:rsid w:val="004849D1"/>
    <w:rsid w:val="00491EA2"/>
    <w:rsid w:val="004924C2"/>
    <w:rsid w:val="004933E7"/>
    <w:rsid w:val="004A129A"/>
    <w:rsid w:val="004A172B"/>
    <w:rsid w:val="004A28F5"/>
    <w:rsid w:val="004A45F1"/>
    <w:rsid w:val="004B5859"/>
    <w:rsid w:val="004B5CE9"/>
    <w:rsid w:val="004B6074"/>
    <w:rsid w:val="004B6D78"/>
    <w:rsid w:val="004B6E10"/>
    <w:rsid w:val="004B76F0"/>
    <w:rsid w:val="004C07DB"/>
    <w:rsid w:val="004C2E65"/>
    <w:rsid w:val="004C5568"/>
    <w:rsid w:val="004D0629"/>
    <w:rsid w:val="004D2302"/>
    <w:rsid w:val="004D34B8"/>
    <w:rsid w:val="004D3FE2"/>
    <w:rsid w:val="004D46F0"/>
    <w:rsid w:val="004D47BC"/>
    <w:rsid w:val="004D5017"/>
    <w:rsid w:val="004D629C"/>
    <w:rsid w:val="004D6594"/>
    <w:rsid w:val="004D7546"/>
    <w:rsid w:val="004D769B"/>
    <w:rsid w:val="004D791B"/>
    <w:rsid w:val="004E30B1"/>
    <w:rsid w:val="004E3C38"/>
    <w:rsid w:val="004F2566"/>
    <w:rsid w:val="004F52DA"/>
    <w:rsid w:val="004F5D68"/>
    <w:rsid w:val="00500640"/>
    <w:rsid w:val="0050373C"/>
    <w:rsid w:val="0050690D"/>
    <w:rsid w:val="00511119"/>
    <w:rsid w:val="00512C84"/>
    <w:rsid w:val="00512E6E"/>
    <w:rsid w:val="0051365F"/>
    <w:rsid w:val="0051466A"/>
    <w:rsid w:val="005146D3"/>
    <w:rsid w:val="0051599B"/>
    <w:rsid w:val="005159F2"/>
    <w:rsid w:val="00516650"/>
    <w:rsid w:val="005179C6"/>
    <w:rsid w:val="005201A4"/>
    <w:rsid w:val="00520454"/>
    <w:rsid w:val="00521643"/>
    <w:rsid w:val="0052261E"/>
    <w:rsid w:val="005263FF"/>
    <w:rsid w:val="00526C50"/>
    <w:rsid w:val="00527316"/>
    <w:rsid w:val="00532CA2"/>
    <w:rsid w:val="00533F8D"/>
    <w:rsid w:val="00534309"/>
    <w:rsid w:val="00534782"/>
    <w:rsid w:val="00536328"/>
    <w:rsid w:val="00536A41"/>
    <w:rsid w:val="00536B84"/>
    <w:rsid w:val="0054003F"/>
    <w:rsid w:val="0054383A"/>
    <w:rsid w:val="00551B56"/>
    <w:rsid w:val="00551F3E"/>
    <w:rsid w:val="00552104"/>
    <w:rsid w:val="00555C85"/>
    <w:rsid w:val="00557981"/>
    <w:rsid w:val="00557AF0"/>
    <w:rsid w:val="00557F5E"/>
    <w:rsid w:val="00563614"/>
    <w:rsid w:val="00563A14"/>
    <w:rsid w:val="00563CA3"/>
    <w:rsid w:val="00565BAF"/>
    <w:rsid w:val="00571DCB"/>
    <w:rsid w:val="005770AB"/>
    <w:rsid w:val="00577CA8"/>
    <w:rsid w:val="0058131F"/>
    <w:rsid w:val="00581D6A"/>
    <w:rsid w:val="005869E3"/>
    <w:rsid w:val="00594258"/>
    <w:rsid w:val="00594496"/>
    <w:rsid w:val="00594693"/>
    <w:rsid w:val="00596D79"/>
    <w:rsid w:val="00597BA4"/>
    <w:rsid w:val="005A253E"/>
    <w:rsid w:val="005A3283"/>
    <w:rsid w:val="005A5029"/>
    <w:rsid w:val="005A5517"/>
    <w:rsid w:val="005A6319"/>
    <w:rsid w:val="005A6F42"/>
    <w:rsid w:val="005A70CE"/>
    <w:rsid w:val="005A71F4"/>
    <w:rsid w:val="005A7AED"/>
    <w:rsid w:val="005B1B1D"/>
    <w:rsid w:val="005B28B4"/>
    <w:rsid w:val="005B3C73"/>
    <w:rsid w:val="005B443E"/>
    <w:rsid w:val="005C0844"/>
    <w:rsid w:val="005C1416"/>
    <w:rsid w:val="005C1976"/>
    <w:rsid w:val="005C5864"/>
    <w:rsid w:val="005C7667"/>
    <w:rsid w:val="005C79ED"/>
    <w:rsid w:val="005C7D28"/>
    <w:rsid w:val="005D038A"/>
    <w:rsid w:val="005D0B9A"/>
    <w:rsid w:val="005D1063"/>
    <w:rsid w:val="005D13D9"/>
    <w:rsid w:val="005D2F23"/>
    <w:rsid w:val="005D3332"/>
    <w:rsid w:val="005D3627"/>
    <w:rsid w:val="005D4B12"/>
    <w:rsid w:val="005D5C97"/>
    <w:rsid w:val="005E0DD1"/>
    <w:rsid w:val="005E7F2C"/>
    <w:rsid w:val="005F08FF"/>
    <w:rsid w:val="005F188E"/>
    <w:rsid w:val="005F1E15"/>
    <w:rsid w:val="005F2DEC"/>
    <w:rsid w:val="005F3D46"/>
    <w:rsid w:val="005F4270"/>
    <w:rsid w:val="005F520B"/>
    <w:rsid w:val="005F595C"/>
    <w:rsid w:val="0060235F"/>
    <w:rsid w:val="00605911"/>
    <w:rsid w:val="006105E7"/>
    <w:rsid w:val="00610969"/>
    <w:rsid w:val="00614C6F"/>
    <w:rsid w:val="00615C58"/>
    <w:rsid w:val="00617293"/>
    <w:rsid w:val="00621F5C"/>
    <w:rsid w:val="006260F0"/>
    <w:rsid w:val="0062622E"/>
    <w:rsid w:val="006265B0"/>
    <w:rsid w:val="00626817"/>
    <w:rsid w:val="00626DBD"/>
    <w:rsid w:val="00631500"/>
    <w:rsid w:val="0063156F"/>
    <w:rsid w:val="00631BFB"/>
    <w:rsid w:val="006333EE"/>
    <w:rsid w:val="00634637"/>
    <w:rsid w:val="00637038"/>
    <w:rsid w:val="0063727D"/>
    <w:rsid w:val="00637488"/>
    <w:rsid w:val="00642622"/>
    <w:rsid w:val="00643AC8"/>
    <w:rsid w:val="00643F58"/>
    <w:rsid w:val="00644F29"/>
    <w:rsid w:val="00646E60"/>
    <w:rsid w:val="00647A42"/>
    <w:rsid w:val="00655AF7"/>
    <w:rsid w:val="00657294"/>
    <w:rsid w:val="006608B5"/>
    <w:rsid w:val="006620ED"/>
    <w:rsid w:val="0066235E"/>
    <w:rsid w:val="00662D9D"/>
    <w:rsid w:val="00663DFB"/>
    <w:rsid w:val="00665361"/>
    <w:rsid w:val="0066646E"/>
    <w:rsid w:val="00666E6D"/>
    <w:rsid w:val="00667E19"/>
    <w:rsid w:val="00670594"/>
    <w:rsid w:val="00670A31"/>
    <w:rsid w:val="00672431"/>
    <w:rsid w:val="0068280F"/>
    <w:rsid w:val="00682FA6"/>
    <w:rsid w:val="006844C6"/>
    <w:rsid w:val="00684681"/>
    <w:rsid w:val="00685C18"/>
    <w:rsid w:val="006865FB"/>
    <w:rsid w:val="00686E4E"/>
    <w:rsid w:val="00687A1A"/>
    <w:rsid w:val="0069012E"/>
    <w:rsid w:val="006904C3"/>
    <w:rsid w:val="006916BD"/>
    <w:rsid w:val="0069211A"/>
    <w:rsid w:val="00692863"/>
    <w:rsid w:val="00692FF8"/>
    <w:rsid w:val="006952BD"/>
    <w:rsid w:val="00695BA7"/>
    <w:rsid w:val="00696249"/>
    <w:rsid w:val="006A06F4"/>
    <w:rsid w:val="006A1615"/>
    <w:rsid w:val="006A28C3"/>
    <w:rsid w:val="006A3F16"/>
    <w:rsid w:val="006A57CF"/>
    <w:rsid w:val="006A5BBF"/>
    <w:rsid w:val="006A7AC4"/>
    <w:rsid w:val="006A7EEC"/>
    <w:rsid w:val="006B1A0C"/>
    <w:rsid w:val="006B1E41"/>
    <w:rsid w:val="006B470B"/>
    <w:rsid w:val="006C3FCA"/>
    <w:rsid w:val="006C4604"/>
    <w:rsid w:val="006C5542"/>
    <w:rsid w:val="006D1622"/>
    <w:rsid w:val="006D1DA6"/>
    <w:rsid w:val="006D3589"/>
    <w:rsid w:val="006D5205"/>
    <w:rsid w:val="006D6577"/>
    <w:rsid w:val="006D74DE"/>
    <w:rsid w:val="006D7E7F"/>
    <w:rsid w:val="006E00FD"/>
    <w:rsid w:val="006E547A"/>
    <w:rsid w:val="006E5C8A"/>
    <w:rsid w:val="006F4338"/>
    <w:rsid w:val="006F4DFB"/>
    <w:rsid w:val="006F6803"/>
    <w:rsid w:val="006F6D16"/>
    <w:rsid w:val="007010C5"/>
    <w:rsid w:val="0070266F"/>
    <w:rsid w:val="0070301E"/>
    <w:rsid w:val="0070370C"/>
    <w:rsid w:val="007061B4"/>
    <w:rsid w:val="0070665E"/>
    <w:rsid w:val="0070684A"/>
    <w:rsid w:val="00707E29"/>
    <w:rsid w:val="00710543"/>
    <w:rsid w:val="007124FD"/>
    <w:rsid w:val="00716E04"/>
    <w:rsid w:val="00717DC9"/>
    <w:rsid w:val="00720103"/>
    <w:rsid w:val="007225E4"/>
    <w:rsid w:val="007227B7"/>
    <w:rsid w:val="0072720B"/>
    <w:rsid w:val="00730D03"/>
    <w:rsid w:val="00731A71"/>
    <w:rsid w:val="0073229C"/>
    <w:rsid w:val="00734C11"/>
    <w:rsid w:val="007351CE"/>
    <w:rsid w:val="00736676"/>
    <w:rsid w:val="00740E83"/>
    <w:rsid w:val="00743304"/>
    <w:rsid w:val="00745B20"/>
    <w:rsid w:val="00746274"/>
    <w:rsid w:val="007465D1"/>
    <w:rsid w:val="00747A66"/>
    <w:rsid w:val="007506A3"/>
    <w:rsid w:val="0075321C"/>
    <w:rsid w:val="00755F95"/>
    <w:rsid w:val="00756467"/>
    <w:rsid w:val="0075791D"/>
    <w:rsid w:val="00762DD2"/>
    <w:rsid w:val="007672DD"/>
    <w:rsid w:val="00767DD2"/>
    <w:rsid w:val="00770D74"/>
    <w:rsid w:val="007727DE"/>
    <w:rsid w:val="00772FF0"/>
    <w:rsid w:val="00773C78"/>
    <w:rsid w:val="00776A50"/>
    <w:rsid w:val="00780471"/>
    <w:rsid w:val="00780B8F"/>
    <w:rsid w:val="0078104B"/>
    <w:rsid w:val="0078582D"/>
    <w:rsid w:val="007929CC"/>
    <w:rsid w:val="00794FE4"/>
    <w:rsid w:val="007A0019"/>
    <w:rsid w:val="007A1967"/>
    <w:rsid w:val="007B523A"/>
    <w:rsid w:val="007B70E7"/>
    <w:rsid w:val="007C2757"/>
    <w:rsid w:val="007C3ECD"/>
    <w:rsid w:val="007C4DCA"/>
    <w:rsid w:val="007C5385"/>
    <w:rsid w:val="007D152A"/>
    <w:rsid w:val="007D251B"/>
    <w:rsid w:val="007E2CC1"/>
    <w:rsid w:val="007E418F"/>
    <w:rsid w:val="007E5B11"/>
    <w:rsid w:val="007E7AAD"/>
    <w:rsid w:val="007E7F08"/>
    <w:rsid w:val="007F09D0"/>
    <w:rsid w:val="007F1038"/>
    <w:rsid w:val="007F436F"/>
    <w:rsid w:val="007F4550"/>
    <w:rsid w:val="007F5A82"/>
    <w:rsid w:val="007F5E96"/>
    <w:rsid w:val="007F77B9"/>
    <w:rsid w:val="00802AFE"/>
    <w:rsid w:val="00803318"/>
    <w:rsid w:val="008034B2"/>
    <w:rsid w:val="008050FB"/>
    <w:rsid w:val="00810AD2"/>
    <w:rsid w:val="00810D5C"/>
    <w:rsid w:val="00810F91"/>
    <w:rsid w:val="00813B62"/>
    <w:rsid w:val="00815154"/>
    <w:rsid w:val="00815AC0"/>
    <w:rsid w:val="00815C2F"/>
    <w:rsid w:val="008165BC"/>
    <w:rsid w:val="008179DC"/>
    <w:rsid w:val="0082002D"/>
    <w:rsid w:val="008248F5"/>
    <w:rsid w:val="00826413"/>
    <w:rsid w:val="00827E88"/>
    <w:rsid w:val="00831132"/>
    <w:rsid w:val="0083173C"/>
    <w:rsid w:val="00835444"/>
    <w:rsid w:val="008420F4"/>
    <w:rsid w:val="008448ED"/>
    <w:rsid w:val="008462EE"/>
    <w:rsid w:val="00846368"/>
    <w:rsid w:val="00846C45"/>
    <w:rsid w:val="00846E95"/>
    <w:rsid w:val="00847061"/>
    <w:rsid w:val="00847205"/>
    <w:rsid w:val="008512C6"/>
    <w:rsid w:val="0085250D"/>
    <w:rsid w:val="00853A6C"/>
    <w:rsid w:val="00854771"/>
    <w:rsid w:val="00857B9C"/>
    <w:rsid w:val="0086093D"/>
    <w:rsid w:val="00862F8B"/>
    <w:rsid w:val="00864B27"/>
    <w:rsid w:val="00865239"/>
    <w:rsid w:val="00866374"/>
    <w:rsid w:val="00870AD8"/>
    <w:rsid w:val="0087380C"/>
    <w:rsid w:val="008738D4"/>
    <w:rsid w:val="00875882"/>
    <w:rsid w:val="00877915"/>
    <w:rsid w:val="00881104"/>
    <w:rsid w:val="00882707"/>
    <w:rsid w:val="00886752"/>
    <w:rsid w:val="00891AAF"/>
    <w:rsid w:val="00892A68"/>
    <w:rsid w:val="00895D93"/>
    <w:rsid w:val="00895E72"/>
    <w:rsid w:val="0089614E"/>
    <w:rsid w:val="00897F5F"/>
    <w:rsid w:val="008A1560"/>
    <w:rsid w:val="008A188F"/>
    <w:rsid w:val="008A33E9"/>
    <w:rsid w:val="008A7F9D"/>
    <w:rsid w:val="008B48E0"/>
    <w:rsid w:val="008B68D6"/>
    <w:rsid w:val="008B7AE3"/>
    <w:rsid w:val="008C02F5"/>
    <w:rsid w:val="008C1968"/>
    <w:rsid w:val="008C2B3A"/>
    <w:rsid w:val="008C2FAB"/>
    <w:rsid w:val="008D199A"/>
    <w:rsid w:val="008D26B1"/>
    <w:rsid w:val="008D353E"/>
    <w:rsid w:val="008D3679"/>
    <w:rsid w:val="008D754D"/>
    <w:rsid w:val="008D7D8E"/>
    <w:rsid w:val="008E0EBF"/>
    <w:rsid w:val="008E31E8"/>
    <w:rsid w:val="008E5428"/>
    <w:rsid w:val="008E5B1D"/>
    <w:rsid w:val="008F02EF"/>
    <w:rsid w:val="008F0DF5"/>
    <w:rsid w:val="008F0FF5"/>
    <w:rsid w:val="008F167C"/>
    <w:rsid w:val="008F2AD4"/>
    <w:rsid w:val="008F38CF"/>
    <w:rsid w:val="008F4634"/>
    <w:rsid w:val="008F67B9"/>
    <w:rsid w:val="008F67C7"/>
    <w:rsid w:val="00900EFD"/>
    <w:rsid w:val="00901EB6"/>
    <w:rsid w:val="00904D0B"/>
    <w:rsid w:val="0090579E"/>
    <w:rsid w:val="00905B46"/>
    <w:rsid w:val="009062F2"/>
    <w:rsid w:val="009072C0"/>
    <w:rsid w:val="00910828"/>
    <w:rsid w:val="00912A91"/>
    <w:rsid w:val="00913849"/>
    <w:rsid w:val="0091496B"/>
    <w:rsid w:val="00914B8D"/>
    <w:rsid w:val="009160CB"/>
    <w:rsid w:val="00917A57"/>
    <w:rsid w:val="00922027"/>
    <w:rsid w:val="00922C32"/>
    <w:rsid w:val="00923EE0"/>
    <w:rsid w:val="0092458B"/>
    <w:rsid w:val="00930B5E"/>
    <w:rsid w:val="00930DF0"/>
    <w:rsid w:val="00932B80"/>
    <w:rsid w:val="00935B69"/>
    <w:rsid w:val="009414A6"/>
    <w:rsid w:val="00943115"/>
    <w:rsid w:val="00943353"/>
    <w:rsid w:val="00945582"/>
    <w:rsid w:val="009532B9"/>
    <w:rsid w:val="00957194"/>
    <w:rsid w:val="009576BA"/>
    <w:rsid w:val="00957FA2"/>
    <w:rsid w:val="00961015"/>
    <w:rsid w:val="00962142"/>
    <w:rsid w:val="0096644A"/>
    <w:rsid w:val="009676A3"/>
    <w:rsid w:val="00967967"/>
    <w:rsid w:val="00970555"/>
    <w:rsid w:val="00970AD2"/>
    <w:rsid w:val="009712B7"/>
    <w:rsid w:val="00971661"/>
    <w:rsid w:val="00971F93"/>
    <w:rsid w:val="009722A6"/>
    <w:rsid w:val="00974BBE"/>
    <w:rsid w:val="00975AE5"/>
    <w:rsid w:val="00995F59"/>
    <w:rsid w:val="00996556"/>
    <w:rsid w:val="00996E5E"/>
    <w:rsid w:val="00997FD4"/>
    <w:rsid w:val="009A2188"/>
    <w:rsid w:val="009A33DD"/>
    <w:rsid w:val="009A3A1F"/>
    <w:rsid w:val="009A3CEC"/>
    <w:rsid w:val="009A3D34"/>
    <w:rsid w:val="009A4285"/>
    <w:rsid w:val="009A49F8"/>
    <w:rsid w:val="009A7E02"/>
    <w:rsid w:val="009A7EB3"/>
    <w:rsid w:val="009B2DB2"/>
    <w:rsid w:val="009B4E6A"/>
    <w:rsid w:val="009B65BE"/>
    <w:rsid w:val="009B6A70"/>
    <w:rsid w:val="009C0143"/>
    <w:rsid w:val="009C2E60"/>
    <w:rsid w:val="009C39CB"/>
    <w:rsid w:val="009C5507"/>
    <w:rsid w:val="009C5FCC"/>
    <w:rsid w:val="009D38D0"/>
    <w:rsid w:val="009D46A3"/>
    <w:rsid w:val="009D4C68"/>
    <w:rsid w:val="009D62A0"/>
    <w:rsid w:val="009E38A0"/>
    <w:rsid w:val="009E3D0A"/>
    <w:rsid w:val="009E4291"/>
    <w:rsid w:val="009E6ABE"/>
    <w:rsid w:val="009E723A"/>
    <w:rsid w:val="009F121C"/>
    <w:rsid w:val="009F4E22"/>
    <w:rsid w:val="009F6077"/>
    <w:rsid w:val="009F66CB"/>
    <w:rsid w:val="009F6FED"/>
    <w:rsid w:val="00A072B3"/>
    <w:rsid w:val="00A077A1"/>
    <w:rsid w:val="00A1040A"/>
    <w:rsid w:val="00A10BAC"/>
    <w:rsid w:val="00A10BAF"/>
    <w:rsid w:val="00A113C2"/>
    <w:rsid w:val="00A137EC"/>
    <w:rsid w:val="00A13A12"/>
    <w:rsid w:val="00A13BBE"/>
    <w:rsid w:val="00A154C7"/>
    <w:rsid w:val="00A208FC"/>
    <w:rsid w:val="00A23A48"/>
    <w:rsid w:val="00A241C0"/>
    <w:rsid w:val="00A261B8"/>
    <w:rsid w:val="00A277D7"/>
    <w:rsid w:val="00A30BDD"/>
    <w:rsid w:val="00A35AC6"/>
    <w:rsid w:val="00A36F38"/>
    <w:rsid w:val="00A37CBA"/>
    <w:rsid w:val="00A40E0B"/>
    <w:rsid w:val="00A42151"/>
    <w:rsid w:val="00A42FC8"/>
    <w:rsid w:val="00A457BD"/>
    <w:rsid w:val="00A4636F"/>
    <w:rsid w:val="00A473B2"/>
    <w:rsid w:val="00A51B6A"/>
    <w:rsid w:val="00A55686"/>
    <w:rsid w:val="00A565F8"/>
    <w:rsid w:val="00A603DA"/>
    <w:rsid w:val="00A60BD6"/>
    <w:rsid w:val="00A6708D"/>
    <w:rsid w:val="00A675EB"/>
    <w:rsid w:val="00A709A4"/>
    <w:rsid w:val="00A71DB5"/>
    <w:rsid w:val="00A73B18"/>
    <w:rsid w:val="00A7576B"/>
    <w:rsid w:val="00A76AD6"/>
    <w:rsid w:val="00A80579"/>
    <w:rsid w:val="00A80F67"/>
    <w:rsid w:val="00A8145E"/>
    <w:rsid w:val="00A82215"/>
    <w:rsid w:val="00A83231"/>
    <w:rsid w:val="00A84970"/>
    <w:rsid w:val="00A86D77"/>
    <w:rsid w:val="00A8764F"/>
    <w:rsid w:val="00A940E6"/>
    <w:rsid w:val="00A94E1F"/>
    <w:rsid w:val="00A96950"/>
    <w:rsid w:val="00A969BC"/>
    <w:rsid w:val="00A97896"/>
    <w:rsid w:val="00AA027C"/>
    <w:rsid w:val="00AA10E3"/>
    <w:rsid w:val="00AA1B63"/>
    <w:rsid w:val="00AA2AAE"/>
    <w:rsid w:val="00AA32A1"/>
    <w:rsid w:val="00AA5003"/>
    <w:rsid w:val="00AA6F3A"/>
    <w:rsid w:val="00AB00D4"/>
    <w:rsid w:val="00AB0A1F"/>
    <w:rsid w:val="00AB2CE1"/>
    <w:rsid w:val="00AB2FAF"/>
    <w:rsid w:val="00AB3E48"/>
    <w:rsid w:val="00AB7DEC"/>
    <w:rsid w:val="00AC0296"/>
    <w:rsid w:val="00AC1ED3"/>
    <w:rsid w:val="00AC2474"/>
    <w:rsid w:val="00AC3487"/>
    <w:rsid w:val="00AC3F0F"/>
    <w:rsid w:val="00AC6F8A"/>
    <w:rsid w:val="00AC7F4C"/>
    <w:rsid w:val="00AD673D"/>
    <w:rsid w:val="00AE021B"/>
    <w:rsid w:val="00AE0B9C"/>
    <w:rsid w:val="00AE0DE3"/>
    <w:rsid w:val="00AE19E1"/>
    <w:rsid w:val="00AE24F4"/>
    <w:rsid w:val="00AE2EBB"/>
    <w:rsid w:val="00AE44E0"/>
    <w:rsid w:val="00AE5234"/>
    <w:rsid w:val="00AE5E5F"/>
    <w:rsid w:val="00AF221D"/>
    <w:rsid w:val="00AF34F9"/>
    <w:rsid w:val="00AF3A77"/>
    <w:rsid w:val="00AF451E"/>
    <w:rsid w:val="00AF45C6"/>
    <w:rsid w:val="00AF66CB"/>
    <w:rsid w:val="00B00941"/>
    <w:rsid w:val="00B030CD"/>
    <w:rsid w:val="00B134BF"/>
    <w:rsid w:val="00B14F07"/>
    <w:rsid w:val="00B1689F"/>
    <w:rsid w:val="00B16EA2"/>
    <w:rsid w:val="00B21F45"/>
    <w:rsid w:val="00B2240C"/>
    <w:rsid w:val="00B24220"/>
    <w:rsid w:val="00B3225D"/>
    <w:rsid w:val="00B33523"/>
    <w:rsid w:val="00B3439A"/>
    <w:rsid w:val="00B34B5E"/>
    <w:rsid w:val="00B35DCC"/>
    <w:rsid w:val="00B364CE"/>
    <w:rsid w:val="00B4202F"/>
    <w:rsid w:val="00B42950"/>
    <w:rsid w:val="00B447B9"/>
    <w:rsid w:val="00B501F5"/>
    <w:rsid w:val="00B502BF"/>
    <w:rsid w:val="00B5363A"/>
    <w:rsid w:val="00B5705C"/>
    <w:rsid w:val="00B5721D"/>
    <w:rsid w:val="00B57D00"/>
    <w:rsid w:val="00B60297"/>
    <w:rsid w:val="00B611C1"/>
    <w:rsid w:val="00B63086"/>
    <w:rsid w:val="00B6682D"/>
    <w:rsid w:val="00B720E5"/>
    <w:rsid w:val="00B772E3"/>
    <w:rsid w:val="00B80E94"/>
    <w:rsid w:val="00B810D6"/>
    <w:rsid w:val="00B8318F"/>
    <w:rsid w:val="00B84A59"/>
    <w:rsid w:val="00B868E2"/>
    <w:rsid w:val="00B8719D"/>
    <w:rsid w:val="00B90346"/>
    <w:rsid w:val="00B90AFD"/>
    <w:rsid w:val="00B928EA"/>
    <w:rsid w:val="00B931E5"/>
    <w:rsid w:val="00B93324"/>
    <w:rsid w:val="00B957CF"/>
    <w:rsid w:val="00B975E9"/>
    <w:rsid w:val="00BA14D8"/>
    <w:rsid w:val="00BA30F9"/>
    <w:rsid w:val="00BA48F5"/>
    <w:rsid w:val="00BA4EE3"/>
    <w:rsid w:val="00BA5601"/>
    <w:rsid w:val="00BA5766"/>
    <w:rsid w:val="00BA58A3"/>
    <w:rsid w:val="00BA7511"/>
    <w:rsid w:val="00BB1DAE"/>
    <w:rsid w:val="00BB3895"/>
    <w:rsid w:val="00BB782D"/>
    <w:rsid w:val="00BC05B3"/>
    <w:rsid w:val="00BC1055"/>
    <w:rsid w:val="00BC1DB5"/>
    <w:rsid w:val="00BD6BD2"/>
    <w:rsid w:val="00BE0C20"/>
    <w:rsid w:val="00BE421D"/>
    <w:rsid w:val="00BE4F2A"/>
    <w:rsid w:val="00BE749B"/>
    <w:rsid w:val="00BF0200"/>
    <w:rsid w:val="00BF0361"/>
    <w:rsid w:val="00BF3826"/>
    <w:rsid w:val="00BF5E76"/>
    <w:rsid w:val="00C026A5"/>
    <w:rsid w:val="00C02D86"/>
    <w:rsid w:val="00C03494"/>
    <w:rsid w:val="00C0585E"/>
    <w:rsid w:val="00C05FE8"/>
    <w:rsid w:val="00C061DC"/>
    <w:rsid w:val="00C0713E"/>
    <w:rsid w:val="00C0799E"/>
    <w:rsid w:val="00C124EE"/>
    <w:rsid w:val="00C12661"/>
    <w:rsid w:val="00C20609"/>
    <w:rsid w:val="00C2273E"/>
    <w:rsid w:val="00C22B06"/>
    <w:rsid w:val="00C24BA2"/>
    <w:rsid w:val="00C2500F"/>
    <w:rsid w:val="00C264CA"/>
    <w:rsid w:val="00C3049E"/>
    <w:rsid w:val="00C310E6"/>
    <w:rsid w:val="00C31220"/>
    <w:rsid w:val="00C312D8"/>
    <w:rsid w:val="00C323E5"/>
    <w:rsid w:val="00C33EE0"/>
    <w:rsid w:val="00C358DC"/>
    <w:rsid w:val="00C41827"/>
    <w:rsid w:val="00C41BA6"/>
    <w:rsid w:val="00C42C49"/>
    <w:rsid w:val="00C4307D"/>
    <w:rsid w:val="00C43847"/>
    <w:rsid w:val="00C448D0"/>
    <w:rsid w:val="00C47919"/>
    <w:rsid w:val="00C52313"/>
    <w:rsid w:val="00C527C6"/>
    <w:rsid w:val="00C545D4"/>
    <w:rsid w:val="00C55778"/>
    <w:rsid w:val="00C5716B"/>
    <w:rsid w:val="00C5745D"/>
    <w:rsid w:val="00C57ABF"/>
    <w:rsid w:val="00C57C64"/>
    <w:rsid w:val="00C57E78"/>
    <w:rsid w:val="00C60519"/>
    <w:rsid w:val="00C619C5"/>
    <w:rsid w:val="00C64688"/>
    <w:rsid w:val="00C648FA"/>
    <w:rsid w:val="00C65A24"/>
    <w:rsid w:val="00C66407"/>
    <w:rsid w:val="00C66588"/>
    <w:rsid w:val="00C671EC"/>
    <w:rsid w:val="00C67286"/>
    <w:rsid w:val="00C77DF1"/>
    <w:rsid w:val="00C857F2"/>
    <w:rsid w:val="00C85BA8"/>
    <w:rsid w:val="00C862BE"/>
    <w:rsid w:val="00C86526"/>
    <w:rsid w:val="00C86911"/>
    <w:rsid w:val="00C877EB"/>
    <w:rsid w:val="00C879B1"/>
    <w:rsid w:val="00C90F00"/>
    <w:rsid w:val="00C9450F"/>
    <w:rsid w:val="00C97FD7"/>
    <w:rsid w:val="00CA0623"/>
    <w:rsid w:val="00CA1347"/>
    <w:rsid w:val="00CA1540"/>
    <w:rsid w:val="00CA15F4"/>
    <w:rsid w:val="00CA2E4B"/>
    <w:rsid w:val="00CA3C3C"/>
    <w:rsid w:val="00CA5BFB"/>
    <w:rsid w:val="00CA604E"/>
    <w:rsid w:val="00CA6C70"/>
    <w:rsid w:val="00CB22E1"/>
    <w:rsid w:val="00CB2E3F"/>
    <w:rsid w:val="00CB36E6"/>
    <w:rsid w:val="00CC78EA"/>
    <w:rsid w:val="00CC7C78"/>
    <w:rsid w:val="00CD0712"/>
    <w:rsid w:val="00CD403B"/>
    <w:rsid w:val="00CE0525"/>
    <w:rsid w:val="00CE2EB6"/>
    <w:rsid w:val="00CE580C"/>
    <w:rsid w:val="00CF0271"/>
    <w:rsid w:val="00CF081E"/>
    <w:rsid w:val="00CF17D1"/>
    <w:rsid w:val="00CF6912"/>
    <w:rsid w:val="00CF7EF4"/>
    <w:rsid w:val="00D012BD"/>
    <w:rsid w:val="00D0134A"/>
    <w:rsid w:val="00D0314C"/>
    <w:rsid w:val="00D04938"/>
    <w:rsid w:val="00D05630"/>
    <w:rsid w:val="00D0655D"/>
    <w:rsid w:val="00D1045D"/>
    <w:rsid w:val="00D106A9"/>
    <w:rsid w:val="00D10E25"/>
    <w:rsid w:val="00D11697"/>
    <w:rsid w:val="00D11D36"/>
    <w:rsid w:val="00D11EE1"/>
    <w:rsid w:val="00D12305"/>
    <w:rsid w:val="00D130AC"/>
    <w:rsid w:val="00D13F07"/>
    <w:rsid w:val="00D15AC3"/>
    <w:rsid w:val="00D1712D"/>
    <w:rsid w:val="00D2000A"/>
    <w:rsid w:val="00D20376"/>
    <w:rsid w:val="00D2040D"/>
    <w:rsid w:val="00D20585"/>
    <w:rsid w:val="00D21C34"/>
    <w:rsid w:val="00D21C85"/>
    <w:rsid w:val="00D2242A"/>
    <w:rsid w:val="00D22D84"/>
    <w:rsid w:val="00D2495F"/>
    <w:rsid w:val="00D24B75"/>
    <w:rsid w:val="00D26544"/>
    <w:rsid w:val="00D31107"/>
    <w:rsid w:val="00D31206"/>
    <w:rsid w:val="00D31FE1"/>
    <w:rsid w:val="00D3300B"/>
    <w:rsid w:val="00D34897"/>
    <w:rsid w:val="00D364F2"/>
    <w:rsid w:val="00D36601"/>
    <w:rsid w:val="00D37E2A"/>
    <w:rsid w:val="00D40E3B"/>
    <w:rsid w:val="00D415C0"/>
    <w:rsid w:val="00D422BF"/>
    <w:rsid w:val="00D42347"/>
    <w:rsid w:val="00D42C4B"/>
    <w:rsid w:val="00D44284"/>
    <w:rsid w:val="00D46CBF"/>
    <w:rsid w:val="00D47924"/>
    <w:rsid w:val="00D50025"/>
    <w:rsid w:val="00D5489C"/>
    <w:rsid w:val="00D5715F"/>
    <w:rsid w:val="00D60FB9"/>
    <w:rsid w:val="00D63B78"/>
    <w:rsid w:val="00D64D2D"/>
    <w:rsid w:val="00D670A1"/>
    <w:rsid w:val="00D71BDA"/>
    <w:rsid w:val="00D726C6"/>
    <w:rsid w:val="00D743A1"/>
    <w:rsid w:val="00D801C3"/>
    <w:rsid w:val="00D81957"/>
    <w:rsid w:val="00D82A48"/>
    <w:rsid w:val="00D83261"/>
    <w:rsid w:val="00D84051"/>
    <w:rsid w:val="00D85499"/>
    <w:rsid w:val="00D85F53"/>
    <w:rsid w:val="00D86319"/>
    <w:rsid w:val="00D87943"/>
    <w:rsid w:val="00D92231"/>
    <w:rsid w:val="00D92AA0"/>
    <w:rsid w:val="00D92C7D"/>
    <w:rsid w:val="00D93639"/>
    <w:rsid w:val="00D958A7"/>
    <w:rsid w:val="00D9635D"/>
    <w:rsid w:val="00D970F1"/>
    <w:rsid w:val="00D97C27"/>
    <w:rsid w:val="00DA1500"/>
    <w:rsid w:val="00DA1973"/>
    <w:rsid w:val="00DA22E1"/>
    <w:rsid w:val="00DA2A08"/>
    <w:rsid w:val="00DA3046"/>
    <w:rsid w:val="00DA37D0"/>
    <w:rsid w:val="00DA42BD"/>
    <w:rsid w:val="00DA5ADC"/>
    <w:rsid w:val="00DA7193"/>
    <w:rsid w:val="00DA79D2"/>
    <w:rsid w:val="00DB03C3"/>
    <w:rsid w:val="00DB1C1E"/>
    <w:rsid w:val="00DB1E21"/>
    <w:rsid w:val="00DB360C"/>
    <w:rsid w:val="00DB6972"/>
    <w:rsid w:val="00DB6AB7"/>
    <w:rsid w:val="00DC1E00"/>
    <w:rsid w:val="00DC221A"/>
    <w:rsid w:val="00DC6B57"/>
    <w:rsid w:val="00DD0DB7"/>
    <w:rsid w:val="00DD1118"/>
    <w:rsid w:val="00DD3F93"/>
    <w:rsid w:val="00DD7B61"/>
    <w:rsid w:val="00DE1898"/>
    <w:rsid w:val="00DE2971"/>
    <w:rsid w:val="00DE2A93"/>
    <w:rsid w:val="00DE58BB"/>
    <w:rsid w:val="00DE73A9"/>
    <w:rsid w:val="00DF02D1"/>
    <w:rsid w:val="00DF1DF4"/>
    <w:rsid w:val="00DF2262"/>
    <w:rsid w:val="00DF34AB"/>
    <w:rsid w:val="00DF41F1"/>
    <w:rsid w:val="00DF4DB3"/>
    <w:rsid w:val="00DF6CCD"/>
    <w:rsid w:val="00DF7619"/>
    <w:rsid w:val="00E00120"/>
    <w:rsid w:val="00E00366"/>
    <w:rsid w:val="00E01098"/>
    <w:rsid w:val="00E014C3"/>
    <w:rsid w:val="00E03547"/>
    <w:rsid w:val="00E05460"/>
    <w:rsid w:val="00E054FA"/>
    <w:rsid w:val="00E05BB2"/>
    <w:rsid w:val="00E06CBF"/>
    <w:rsid w:val="00E0731F"/>
    <w:rsid w:val="00E10366"/>
    <w:rsid w:val="00E10688"/>
    <w:rsid w:val="00E12A8A"/>
    <w:rsid w:val="00E1581B"/>
    <w:rsid w:val="00E23F90"/>
    <w:rsid w:val="00E249E5"/>
    <w:rsid w:val="00E259C8"/>
    <w:rsid w:val="00E26CEF"/>
    <w:rsid w:val="00E30358"/>
    <w:rsid w:val="00E31267"/>
    <w:rsid w:val="00E336F6"/>
    <w:rsid w:val="00E3372E"/>
    <w:rsid w:val="00E33742"/>
    <w:rsid w:val="00E3428D"/>
    <w:rsid w:val="00E34611"/>
    <w:rsid w:val="00E36A8E"/>
    <w:rsid w:val="00E37DE4"/>
    <w:rsid w:val="00E4366F"/>
    <w:rsid w:val="00E4372C"/>
    <w:rsid w:val="00E4522A"/>
    <w:rsid w:val="00E47188"/>
    <w:rsid w:val="00E47202"/>
    <w:rsid w:val="00E50B8A"/>
    <w:rsid w:val="00E50E58"/>
    <w:rsid w:val="00E51CC6"/>
    <w:rsid w:val="00E5214D"/>
    <w:rsid w:val="00E53343"/>
    <w:rsid w:val="00E55102"/>
    <w:rsid w:val="00E55848"/>
    <w:rsid w:val="00E56593"/>
    <w:rsid w:val="00E634D0"/>
    <w:rsid w:val="00E647FE"/>
    <w:rsid w:val="00E67BAD"/>
    <w:rsid w:val="00E70D85"/>
    <w:rsid w:val="00E70DCF"/>
    <w:rsid w:val="00E7166E"/>
    <w:rsid w:val="00E72B2C"/>
    <w:rsid w:val="00E76D8B"/>
    <w:rsid w:val="00E77C6A"/>
    <w:rsid w:val="00E81C6C"/>
    <w:rsid w:val="00E8356C"/>
    <w:rsid w:val="00E83751"/>
    <w:rsid w:val="00E86213"/>
    <w:rsid w:val="00E866B1"/>
    <w:rsid w:val="00E92AEF"/>
    <w:rsid w:val="00E93C8D"/>
    <w:rsid w:val="00E94258"/>
    <w:rsid w:val="00E94EDE"/>
    <w:rsid w:val="00EA2D08"/>
    <w:rsid w:val="00EA2F88"/>
    <w:rsid w:val="00EA49DC"/>
    <w:rsid w:val="00EA5BF5"/>
    <w:rsid w:val="00EA6A05"/>
    <w:rsid w:val="00EA7BC2"/>
    <w:rsid w:val="00EB19D5"/>
    <w:rsid w:val="00EB28E5"/>
    <w:rsid w:val="00EB29E2"/>
    <w:rsid w:val="00EB3F2D"/>
    <w:rsid w:val="00EB5E45"/>
    <w:rsid w:val="00EB6B1F"/>
    <w:rsid w:val="00EB75B8"/>
    <w:rsid w:val="00EB78A5"/>
    <w:rsid w:val="00EB7958"/>
    <w:rsid w:val="00EC496E"/>
    <w:rsid w:val="00EC6E26"/>
    <w:rsid w:val="00ED08C3"/>
    <w:rsid w:val="00ED116D"/>
    <w:rsid w:val="00ED12B2"/>
    <w:rsid w:val="00ED2ABA"/>
    <w:rsid w:val="00ED3490"/>
    <w:rsid w:val="00ED7EC7"/>
    <w:rsid w:val="00EE13F2"/>
    <w:rsid w:val="00EE21C2"/>
    <w:rsid w:val="00EE2C2B"/>
    <w:rsid w:val="00EE337E"/>
    <w:rsid w:val="00EE41B5"/>
    <w:rsid w:val="00EE5800"/>
    <w:rsid w:val="00EE5BA6"/>
    <w:rsid w:val="00EE5C98"/>
    <w:rsid w:val="00EE6F92"/>
    <w:rsid w:val="00EE7404"/>
    <w:rsid w:val="00EF13C6"/>
    <w:rsid w:val="00EF3666"/>
    <w:rsid w:val="00EF5417"/>
    <w:rsid w:val="00F0040B"/>
    <w:rsid w:val="00F01218"/>
    <w:rsid w:val="00F02E0D"/>
    <w:rsid w:val="00F05DE1"/>
    <w:rsid w:val="00F05E31"/>
    <w:rsid w:val="00F06D06"/>
    <w:rsid w:val="00F07AAC"/>
    <w:rsid w:val="00F12035"/>
    <w:rsid w:val="00F13EFF"/>
    <w:rsid w:val="00F14CBA"/>
    <w:rsid w:val="00F15003"/>
    <w:rsid w:val="00F16B49"/>
    <w:rsid w:val="00F16C3F"/>
    <w:rsid w:val="00F20D1F"/>
    <w:rsid w:val="00F21B22"/>
    <w:rsid w:val="00F21C62"/>
    <w:rsid w:val="00F2218C"/>
    <w:rsid w:val="00F22AAB"/>
    <w:rsid w:val="00F23B97"/>
    <w:rsid w:val="00F24AA9"/>
    <w:rsid w:val="00F26E9D"/>
    <w:rsid w:val="00F301B7"/>
    <w:rsid w:val="00F3102D"/>
    <w:rsid w:val="00F3113B"/>
    <w:rsid w:val="00F315C7"/>
    <w:rsid w:val="00F32044"/>
    <w:rsid w:val="00F350A5"/>
    <w:rsid w:val="00F3602B"/>
    <w:rsid w:val="00F36105"/>
    <w:rsid w:val="00F36601"/>
    <w:rsid w:val="00F37FD0"/>
    <w:rsid w:val="00F40BF1"/>
    <w:rsid w:val="00F41254"/>
    <w:rsid w:val="00F420BF"/>
    <w:rsid w:val="00F4445B"/>
    <w:rsid w:val="00F44487"/>
    <w:rsid w:val="00F45A0C"/>
    <w:rsid w:val="00F46224"/>
    <w:rsid w:val="00F50850"/>
    <w:rsid w:val="00F51932"/>
    <w:rsid w:val="00F52883"/>
    <w:rsid w:val="00F537C6"/>
    <w:rsid w:val="00F54DFF"/>
    <w:rsid w:val="00F55CF0"/>
    <w:rsid w:val="00F560FC"/>
    <w:rsid w:val="00F57F53"/>
    <w:rsid w:val="00F60715"/>
    <w:rsid w:val="00F60F59"/>
    <w:rsid w:val="00F6239E"/>
    <w:rsid w:val="00F62473"/>
    <w:rsid w:val="00F62EB5"/>
    <w:rsid w:val="00F6405B"/>
    <w:rsid w:val="00F64F6A"/>
    <w:rsid w:val="00F66642"/>
    <w:rsid w:val="00F66861"/>
    <w:rsid w:val="00F67C7A"/>
    <w:rsid w:val="00F67CA8"/>
    <w:rsid w:val="00F71C40"/>
    <w:rsid w:val="00F727BF"/>
    <w:rsid w:val="00F738F1"/>
    <w:rsid w:val="00F7652B"/>
    <w:rsid w:val="00F7786B"/>
    <w:rsid w:val="00F818F7"/>
    <w:rsid w:val="00F82AC1"/>
    <w:rsid w:val="00F83693"/>
    <w:rsid w:val="00F840DE"/>
    <w:rsid w:val="00F84933"/>
    <w:rsid w:val="00F84FFA"/>
    <w:rsid w:val="00F86434"/>
    <w:rsid w:val="00F93111"/>
    <w:rsid w:val="00F951A2"/>
    <w:rsid w:val="00F97A5A"/>
    <w:rsid w:val="00FA0968"/>
    <w:rsid w:val="00FB1158"/>
    <w:rsid w:val="00FB25ED"/>
    <w:rsid w:val="00FB3980"/>
    <w:rsid w:val="00FB4972"/>
    <w:rsid w:val="00FC2924"/>
    <w:rsid w:val="00FC2F1D"/>
    <w:rsid w:val="00FC4DD1"/>
    <w:rsid w:val="00FC69AD"/>
    <w:rsid w:val="00FD21A0"/>
    <w:rsid w:val="00FD27B6"/>
    <w:rsid w:val="00FD2CEE"/>
    <w:rsid w:val="00FD3E24"/>
    <w:rsid w:val="00FD6589"/>
    <w:rsid w:val="00FD670D"/>
    <w:rsid w:val="00FE0586"/>
    <w:rsid w:val="00FE0BB8"/>
    <w:rsid w:val="00FE223F"/>
    <w:rsid w:val="00FE2540"/>
    <w:rsid w:val="00FE32D4"/>
    <w:rsid w:val="00FE3F56"/>
    <w:rsid w:val="00FF4991"/>
    <w:rsid w:val="00FF6D66"/>
    <w:rsid w:val="00FF7A8A"/>
    <w:rsid w:val="00FF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AA9"/>
    <w:pPr>
      <w:jc w:val="both"/>
    </w:pPr>
    <w:rPr>
      <w:sz w:val="22"/>
    </w:rPr>
  </w:style>
  <w:style w:type="paragraph" w:styleId="1">
    <w:name w:val="heading 1"/>
    <w:aliases w:val="Heading_eng 1"/>
    <w:basedOn w:val="a"/>
    <w:next w:val="a"/>
    <w:link w:val="10"/>
    <w:qFormat/>
    <w:rsid w:val="00C5716B"/>
    <w:pPr>
      <w:keepNext/>
      <w:numPr>
        <w:numId w:val="1"/>
      </w:numPr>
      <w:outlineLvl w:val="0"/>
    </w:pPr>
    <w:rPr>
      <w:b/>
      <w:i/>
    </w:rPr>
  </w:style>
  <w:style w:type="paragraph" w:styleId="2">
    <w:name w:val="heading 2"/>
    <w:basedOn w:val="a"/>
    <w:link w:val="20"/>
    <w:qFormat/>
    <w:rsid w:val="003F478E"/>
    <w:pPr>
      <w:keepNext/>
      <w:pBdr>
        <w:top w:val="single" w:sz="6" w:space="1" w:color="auto"/>
      </w:pBdr>
      <w:tabs>
        <w:tab w:val="num" w:pos="0"/>
      </w:tabs>
      <w:spacing w:after="240"/>
      <w:outlineLvl w:val="1"/>
    </w:pPr>
    <w:rPr>
      <w:sz w:val="20"/>
    </w:rPr>
  </w:style>
  <w:style w:type="paragraph" w:styleId="3">
    <w:name w:val="heading 3"/>
    <w:basedOn w:val="a"/>
    <w:next w:val="a0"/>
    <w:link w:val="30"/>
    <w:qFormat/>
    <w:rsid w:val="003F478E"/>
    <w:pPr>
      <w:keepNext/>
      <w:tabs>
        <w:tab w:val="num" w:pos="2160"/>
      </w:tabs>
      <w:spacing w:before="240" w:after="120" w:line="280" w:lineRule="exact"/>
      <w:jc w:val="left"/>
      <w:outlineLvl w:val="2"/>
    </w:pPr>
    <w:rPr>
      <w:rFonts w:ascii="Arial" w:hAnsi="Arial" w:cs="Arial"/>
      <w:b/>
      <w:bCs/>
      <w:sz w:val="24"/>
      <w:szCs w:val="24"/>
    </w:rPr>
  </w:style>
  <w:style w:type="paragraph" w:styleId="4">
    <w:name w:val="heading 4"/>
    <w:basedOn w:val="a"/>
    <w:next w:val="a0"/>
    <w:link w:val="40"/>
    <w:qFormat/>
    <w:rsid w:val="003F478E"/>
    <w:pPr>
      <w:keepNext/>
      <w:tabs>
        <w:tab w:val="num" w:pos="2880"/>
      </w:tabs>
      <w:spacing w:before="180" w:after="120" w:line="280" w:lineRule="exact"/>
      <w:jc w:val="left"/>
      <w:outlineLvl w:val="3"/>
    </w:pPr>
    <w:rPr>
      <w:rFonts w:ascii="Arial" w:hAnsi="Arial" w:cs="Arial"/>
      <w:b/>
      <w:bCs/>
      <w:sz w:val="20"/>
    </w:rPr>
  </w:style>
  <w:style w:type="paragraph" w:styleId="5">
    <w:name w:val="heading 5"/>
    <w:basedOn w:val="a"/>
    <w:next w:val="a0"/>
    <w:link w:val="50"/>
    <w:qFormat/>
    <w:rsid w:val="003F478E"/>
    <w:pPr>
      <w:tabs>
        <w:tab w:val="num" w:pos="3600"/>
      </w:tabs>
      <w:spacing w:before="240" w:after="60"/>
      <w:jc w:val="left"/>
      <w:outlineLvl w:val="4"/>
    </w:pPr>
    <w:rPr>
      <w:rFonts w:ascii="Arial" w:hAnsi="Arial" w:cs="Arial"/>
      <w:szCs w:val="22"/>
    </w:rPr>
  </w:style>
  <w:style w:type="paragraph" w:styleId="6">
    <w:name w:val="heading 6"/>
    <w:basedOn w:val="a"/>
    <w:next w:val="a0"/>
    <w:link w:val="60"/>
    <w:qFormat/>
    <w:rsid w:val="003F478E"/>
    <w:pPr>
      <w:tabs>
        <w:tab w:val="num" w:pos="4320"/>
      </w:tabs>
      <w:spacing w:before="240" w:after="60"/>
      <w:jc w:val="left"/>
      <w:outlineLvl w:val="5"/>
    </w:pPr>
    <w:rPr>
      <w:rFonts w:ascii="Arial" w:hAnsi="Arial" w:cs="Arial"/>
      <w:i/>
      <w:iCs/>
      <w:szCs w:val="22"/>
    </w:rPr>
  </w:style>
  <w:style w:type="paragraph" w:styleId="7">
    <w:name w:val="heading 7"/>
    <w:basedOn w:val="a"/>
    <w:next w:val="a0"/>
    <w:link w:val="70"/>
    <w:qFormat/>
    <w:rsid w:val="003F478E"/>
    <w:pPr>
      <w:tabs>
        <w:tab w:val="num" w:pos="5040"/>
      </w:tabs>
      <w:spacing w:before="240" w:after="60"/>
      <w:jc w:val="left"/>
      <w:outlineLvl w:val="6"/>
    </w:pPr>
    <w:rPr>
      <w:rFonts w:ascii="Arial" w:hAnsi="Arial" w:cs="Arial"/>
      <w:sz w:val="20"/>
    </w:rPr>
  </w:style>
  <w:style w:type="paragraph" w:styleId="8">
    <w:name w:val="heading 8"/>
    <w:basedOn w:val="a"/>
    <w:next w:val="a0"/>
    <w:link w:val="80"/>
    <w:qFormat/>
    <w:rsid w:val="003F478E"/>
    <w:pPr>
      <w:tabs>
        <w:tab w:val="num" w:pos="5760"/>
      </w:tabs>
      <w:spacing w:before="240" w:after="60"/>
      <w:jc w:val="left"/>
      <w:outlineLvl w:val="7"/>
    </w:pPr>
    <w:rPr>
      <w:rFonts w:ascii="Arial" w:hAnsi="Arial" w:cs="Arial"/>
      <w:i/>
      <w:iCs/>
      <w:sz w:val="20"/>
    </w:rPr>
  </w:style>
  <w:style w:type="paragraph" w:styleId="9">
    <w:name w:val="heading 9"/>
    <w:basedOn w:val="a"/>
    <w:next w:val="a"/>
    <w:qFormat/>
    <w:rsid w:val="00670594"/>
    <w:pPr>
      <w:spacing w:before="240" w:after="60"/>
      <w:outlineLvl w:val="8"/>
    </w:pPr>
    <w:rPr>
      <w:rFonts w:ascii="Arial" w:hAnsi="Arial"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511119"/>
    <w:pPr>
      <w:tabs>
        <w:tab w:val="center" w:pos="4677"/>
        <w:tab w:val="right" w:pos="9355"/>
      </w:tabs>
    </w:pPr>
  </w:style>
  <w:style w:type="paragraph" w:styleId="a5">
    <w:name w:val="footer"/>
    <w:basedOn w:val="a"/>
    <w:rsid w:val="00511119"/>
    <w:pPr>
      <w:tabs>
        <w:tab w:val="center" w:pos="4677"/>
        <w:tab w:val="right" w:pos="9355"/>
      </w:tabs>
    </w:pPr>
  </w:style>
  <w:style w:type="paragraph" w:customStyle="1" w:styleId="Address">
    <w:name w:val="Address"/>
    <w:rsid w:val="00DF02D1"/>
    <w:rPr>
      <w:rFonts w:ascii="Arial" w:hAnsi="Arial" w:cs="Arial"/>
      <w:color w:val="1F5394"/>
      <w:sz w:val="15"/>
      <w:szCs w:val="15"/>
      <w:lang w:val="ru-RU" w:eastAsia="ru-RU"/>
    </w:rPr>
  </w:style>
  <w:style w:type="paragraph" w:customStyle="1" w:styleId="Normal12">
    <w:name w:val="Normal+12"/>
    <w:basedOn w:val="a"/>
    <w:rsid w:val="00A76AD6"/>
    <w:pPr>
      <w:spacing w:before="240"/>
    </w:pPr>
  </w:style>
  <w:style w:type="paragraph" w:customStyle="1" w:styleId="PersonsName">
    <w:name w:val="Person's Name"/>
    <w:basedOn w:val="Normal12"/>
    <w:rsid w:val="00A76AD6"/>
    <w:pPr>
      <w:spacing w:before="1200"/>
    </w:pPr>
    <w:rPr>
      <w:b/>
    </w:rPr>
  </w:style>
  <w:style w:type="character" w:styleId="a6">
    <w:name w:val="page number"/>
    <w:basedOn w:val="a1"/>
    <w:rsid w:val="00264EB4"/>
  </w:style>
  <w:style w:type="paragraph" w:styleId="21">
    <w:name w:val="Body Text Indent 2"/>
    <w:basedOn w:val="a"/>
    <w:rsid w:val="00C5716B"/>
    <w:pPr>
      <w:spacing w:line="240" w:lineRule="atLeast"/>
      <w:ind w:left="567"/>
    </w:pPr>
    <w:rPr>
      <w:snapToGrid w:val="0"/>
      <w:color w:val="000000"/>
      <w:sz w:val="24"/>
    </w:rPr>
  </w:style>
  <w:style w:type="paragraph" w:styleId="31">
    <w:name w:val="Body Text Indent 3"/>
    <w:basedOn w:val="a"/>
    <w:rsid w:val="00C5716B"/>
    <w:pPr>
      <w:spacing w:line="240" w:lineRule="atLeast"/>
      <w:ind w:left="567"/>
    </w:pPr>
    <w:rPr>
      <w:snapToGrid w:val="0"/>
      <w:color w:val="000000"/>
    </w:rPr>
  </w:style>
  <w:style w:type="paragraph" w:styleId="32">
    <w:name w:val="Body Text 3"/>
    <w:basedOn w:val="a"/>
    <w:link w:val="33"/>
    <w:rsid w:val="00C5716B"/>
    <w:pPr>
      <w:spacing w:after="120"/>
    </w:pPr>
    <w:rPr>
      <w:sz w:val="16"/>
      <w:szCs w:val="16"/>
    </w:rPr>
  </w:style>
  <w:style w:type="paragraph" w:styleId="a7">
    <w:name w:val="Normal (Web)"/>
    <w:basedOn w:val="a"/>
    <w:rsid w:val="00C5716B"/>
    <w:pPr>
      <w:spacing w:before="100" w:beforeAutospacing="1" w:after="100" w:afterAutospacing="1"/>
    </w:pPr>
    <w:rPr>
      <w:sz w:val="24"/>
    </w:rPr>
  </w:style>
  <w:style w:type="paragraph" w:styleId="a8">
    <w:name w:val="Body Text Indent"/>
    <w:basedOn w:val="a"/>
    <w:rsid w:val="00C5716B"/>
    <w:pPr>
      <w:spacing w:after="120"/>
      <w:ind w:left="283"/>
    </w:pPr>
  </w:style>
  <w:style w:type="paragraph" w:styleId="a9">
    <w:name w:val="footnote text"/>
    <w:basedOn w:val="a"/>
    <w:link w:val="aa"/>
    <w:rsid w:val="00FC2F1D"/>
    <w:pPr>
      <w:jc w:val="left"/>
    </w:pPr>
    <w:rPr>
      <w:sz w:val="20"/>
    </w:rPr>
  </w:style>
  <w:style w:type="character" w:styleId="ab">
    <w:name w:val="footnote reference"/>
    <w:rsid w:val="00FC2F1D"/>
    <w:rPr>
      <w:vertAlign w:val="superscript"/>
    </w:rPr>
  </w:style>
  <w:style w:type="paragraph" w:styleId="ac">
    <w:name w:val="Balloon Text"/>
    <w:basedOn w:val="a"/>
    <w:semiHidden/>
    <w:rsid w:val="00571DCB"/>
    <w:rPr>
      <w:rFonts w:ascii="Tahoma" w:hAnsi="Tahoma" w:cs="Tahoma"/>
      <w:sz w:val="16"/>
      <w:szCs w:val="16"/>
    </w:rPr>
  </w:style>
  <w:style w:type="character" w:styleId="ad">
    <w:name w:val="annotation reference"/>
    <w:semiHidden/>
    <w:rsid w:val="003572A4"/>
    <w:rPr>
      <w:sz w:val="16"/>
      <w:szCs w:val="16"/>
    </w:rPr>
  </w:style>
  <w:style w:type="paragraph" w:styleId="ae">
    <w:name w:val="annotation text"/>
    <w:basedOn w:val="a"/>
    <w:link w:val="af"/>
    <w:uiPriority w:val="99"/>
    <w:semiHidden/>
    <w:rsid w:val="003572A4"/>
    <w:rPr>
      <w:sz w:val="20"/>
    </w:rPr>
  </w:style>
  <w:style w:type="paragraph" w:styleId="af0">
    <w:name w:val="annotation subject"/>
    <w:basedOn w:val="ae"/>
    <w:next w:val="ae"/>
    <w:link w:val="af1"/>
    <w:rsid w:val="003572A4"/>
    <w:rPr>
      <w:b/>
      <w:bCs/>
    </w:rPr>
  </w:style>
  <w:style w:type="paragraph" w:styleId="22">
    <w:name w:val="Body Text 2"/>
    <w:basedOn w:val="a"/>
    <w:rsid w:val="00F301B7"/>
    <w:pPr>
      <w:spacing w:after="120" w:line="480" w:lineRule="auto"/>
    </w:pPr>
  </w:style>
  <w:style w:type="table" w:styleId="af2">
    <w:name w:val="Table Grid"/>
    <w:basedOn w:val="a2"/>
    <w:uiPriority w:val="59"/>
    <w:rsid w:val="00295D5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lock Text"/>
    <w:basedOn w:val="a"/>
    <w:rsid w:val="000253D3"/>
    <w:pPr>
      <w:ind w:left="851" w:right="851"/>
    </w:pPr>
    <w:rPr>
      <w:b/>
      <w:bCs/>
      <w:szCs w:val="22"/>
    </w:rPr>
  </w:style>
  <w:style w:type="paragraph" w:customStyle="1" w:styleId="11">
    <w:name w:val="Обычный1"/>
    <w:rsid w:val="00810AD2"/>
    <w:pPr>
      <w:autoSpaceDE w:val="0"/>
      <w:autoSpaceDN w:val="0"/>
    </w:pPr>
    <w:rPr>
      <w:lang w:val="en-GB"/>
    </w:rPr>
  </w:style>
  <w:style w:type="numbering" w:customStyle="1" w:styleId="SpecialRight02">
    <w:name w:val="Special_Right_02"/>
    <w:rsid w:val="002E3DD5"/>
    <w:pPr>
      <w:numPr>
        <w:numId w:val="3"/>
      </w:numPr>
    </w:pPr>
  </w:style>
  <w:style w:type="paragraph" w:styleId="a0">
    <w:name w:val="Body Text"/>
    <w:basedOn w:val="a"/>
    <w:link w:val="af4"/>
    <w:rsid w:val="00F71C40"/>
    <w:pPr>
      <w:spacing w:line="240" w:lineRule="atLeast"/>
    </w:pPr>
    <w:rPr>
      <w:b/>
      <w:sz w:val="20"/>
      <w:lang w:val="ru-RU"/>
    </w:rPr>
  </w:style>
  <w:style w:type="character" w:customStyle="1" w:styleId="af4">
    <w:name w:val="Основной текст Знак"/>
    <w:link w:val="a0"/>
    <w:rsid w:val="00F71C40"/>
    <w:rPr>
      <w:b/>
      <w:lang w:val="ru-RU"/>
    </w:rPr>
  </w:style>
  <w:style w:type="paragraph" w:customStyle="1" w:styleId="af5">
    <w:name w:val="a"/>
    <w:basedOn w:val="a"/>
    <w:rsid w:val="00C264CA"/>
    <w:pPr>
      <w:autoSpaceDE w:val="0"/>
      <w:autoSpaceDN w:val="0"/>
      <w:jc w:val="left"/>
    </w:pPr>
    <w:rPr>
      <w:sz w:val="20"/>
    </w:rPr>
  </w:style>
  <w:style w:type="paragraph" w:styleId="af6">
    <w:name w:val="Revision"/>
    <w:hidden/>
    <w:uiPriority w:val="99"/>
    <w:semiHidden/>
    <w:rsid w:val="00D2000A"/>
    <w:rPr>
      <w:sz w:val="22"/>
    </w:rPr>
  </w:style>
  <w:style w:type="character" w:customStyle="1" w:styleId="tw4winTerm">
    <w:name w:val="tw4winTerm"/>
    <w:rsid w:val="00C5745D"/>
    <w:rPr>
      <w:color w:val="0000FF"/>
    </w:rPr>
  </w:style>
  <w:style w:type="numbering" w:customStyle="1" w:styleId="SpecialLeft02">
    <w:name w:val="Special_Left_02"/>
    <w:rsid w:val="004A28F5"/>
    <w:pPr>
      <w:numPr>
        <w:numId w:val="4"/>
      </w:numPr>
    </w:pPr>
  </w:style>
  <w:style w:type="paragraph" w:customStyle="1" w:styleId="23">
    <w:name w:val="Обычный2"/>
    <w:rsid w:val="00AA2AAE"/>
    <w:pPr>
      <w:autoSpaceDE w:val="0"/>
      <w:autoSpaceDN w:val="0"/>
    </w:pPr>
    <w:rPr>
      <w:lang w:val="en-GB"/>
    </w:rPr>
  </w:style>
  <w:style w:type="paragraph" w:customStyle="1" w:styleId="Bullet1">
    <w:name w:val="Bullet 1"/>
    <w:basedOn w:val="a"/>
    <w:rsid w:val="009E723A"/>
    <w:pPr>
      <w:numPr>
        <w:numId w:val="6"/>
      </w:numPr>
      <w:jc w:val="left"/>
    </w:pPr>
    <w:rPr>
      <w:sz w:val="20"/>
      <w:lang w:val="en-AU"/>
    </w:rPr>
  </w:style>
  <w:style w:type="paragraph" w:styleId="af7">
    <w:name w:val="List Paragraph"/>
    <w:basedOn w:val="a"/>
    <w:link w:val="af8"/>
    <w:uiPriority w:val="34"/>
    <w:qFormat/>
    <w:rsid w:val="009E723A"/>
    <w:pPr>
      <w:spacing w:after="120"/>
      <w:ind w:left="567"/>
      <w:contextualSpacing/>
      <w:jc w:val="left"/>
    </w:pPr>
    <w:rPr>
      <w:rFonts w:ascii="Arial" w:eastAsia="Arial" w:hAnsi="Arial"/>
      <w:szCs w:val="22"/>
    </w:rPr>
  </w:style>
  <w:style w:type="character" w:styleId="af9">
    <w:name w:val="Placeholder Text"/>
    <w:uiPriority w:val="99"/>
    <w:semiHidden/>
    <w:rsid w:val="00DB1C1E"/>
    <w:rPr>
      <w:color w:val="808080"/>
    </w:rPr>
  </w:style>
  <w:style w:type="character" w:customStyle="1" w:styleId="20">
    <w:name w:val="Заголовок 2 Знак"/>
    <w:basedOn w:val="a1"/>
    <w:link w:val="2"/>
    <w:rsid w:val="003F478E"/>
  </w:style>
  <w:style w:type="character" w:customStyle="1" w:styleId="30">
    <w:name w:val="Заголовок 3 Знак"/>
    <w:basedOn w:val="a1"/>
    <w:link w:val="3"/>
    <w:rsid w:val="003F478E"/>
    <w:rPr>
      <w:rFonts w:ascii="Arial" w:hAnsi="Arial" w:cs="Arial"/>
      <w:b/>
      <w:bCs/>
      <w:sz w:val="24"/>
      <w:szCs w:val="24"/>
    </w:rPr>
  </w:style>
  <w:style w:type="character" w:customStyle="1" w:styleId="40">
    <w:name w:val="Заголовок 4 Знак"/>
    <w:basedOn w:val="a1"/>
    <w:link w:val="4"/>
    <w:rsid w:val="003F478E"/>
    <w:rPr>
      <w:rFonts w:ascii="Arial" w:hAnsi="Arial" w:cs="Arial"/>
      <w:b/>
      <w:bCs/>
    </w:rPr>
  </w:style>
  <w:style w:type="character" w:customStyle="1" w:styleId="50">
    <w:name w:val="Заголовок 5 Знак"/>
    <w:basedOn w:val="a1"/>
    <w:link w:val="5"/>
    <w:rsid w:val="003F478E"/>
    <w:rPr>
      <w:rFonts w:ascii="Arial" w:hAnsi="Arial" w:cs="Arial"/>
      <w:sz w:val="22"/>
      <w:szCs w:val="22"/>
    </w:rPr>
  </w:style>
  <w:style w:type="character" w:customStyle="1" w:styleId="60">
    <w:name w:val="Заголовок 6 Знак"/>
    <w:basedOn w:val="a1"/>
    <w:link w:val="6"/>
    <w:rsid w:val="003F478E"/>
    <w:rPr>
      <w:rFonts w:ascii="Arial" w:hAnsi="Arial" w:cs="Arial"/>
      <w:i/>
      <w:iCs/>
      <w:sz w:val="22"/>
      <w:szCs w:val="22"/>
    </w:rPr>
  </w:style>
  <w:style w:type="character" w:customStyle="1" w:styleId="70">
    <w:name w:val="Заголовок 7 Знак"/>
    <w:basedOn w:val="a1"/>
    <w:link w:val="7"/>
    <w:rsid w:val="003F478E"/>
    <w:rPr>
      <w:rFonts w:ascii="Arial" w:hAnsi="Arial" w:cs="Arial"/>
    </w:rPr>
  </w:style>
  <w:style w:type="character" w:customStyle="1" w:styleId="80">
    <w:name w:val="Заголовок 8 Знак"/>
    <w:basedOn w:val="a1"/>
    <w:link w:val="8"/>
    <w:rsid w:val="003F478E"/>
    <w:rPr>
      <w:rFonts w:ascii="Arial" w:hAnsi="Arial" w:cs="Arial"/>
      <w:i/>
      <w:iCs/>
    </w:rPr>
  </w:style>
  <w:style w:type="paragraph" w:styleId="afa">
    <w:name w:val="envelope address"/>
    <w:basedOn w:val="a"/>
    <w:rsid w:val="003F478E"/>
    <w:pPr>
      <w:framePr w:w="7920" w:h="1980" w:hRule="exact" w:hSpace="180" w:wrap="auto" w:hAnchor="page" w:xAlign="center" w:yAlign="bottom"/>
      <w:ind w:left="2880"/>
      <w:jc w:val="left"/>
    </w:pPr>
    <w:rPr>
      <w:sz w:val="24"/>
      <w:szCs w:val="24"/>
    </w:rPr>
  </w:style>
  <w:style w:type="paragraph" w:customStyle="1" w:styleId="fDTLogo">
    <w:name w:val="f_D&amp;T_Logo"/>
    <w:basedOn w:val="a"/>
    <w:rsid w:val="003F478E"/>
    <w:pPr>
      <w:framePr w:wrap="notBeside" w:vAnchor="page" w:hAnchor="page" w:x="1191" w:y="908"/>
      <w:jc w:val="left"/>
    </w:pPr>
    <w:rPr>
      <w:rFonts w:ascii="CG Times (WN)" w:hAnsi="CG Times (WN)" w:cs="CG Times (WN)"/>
      <w:sz w:val="24"/>
      <w:szCs w:val="24"/>
    </w:rPr>
  </w:style>
  <w:style w:type="paragraph" w:customStyle="1" w:styleId="fDTTLogo">
    <w:name w:val="f_DTT_Logo"/>
    <w:basedOn w:val="a"/>
    <w:rsid w:val="003F478E"/>
    <w:pPr>
      <w:framePr w:wrap="notBeside" w:vAnchor="page" w:hAnchor="page" w:x="1701" w:y="14346"/>
      <w:jc w:val="left"/>
    </w:pPr>
    <w:rPr>
      <w:rFonts w:ascii="CG Times (WN)" w:hAnsi="CG Times (WN)" w:cs="CG Times (WN)"/>
      <w:sz w:val="24"/>
      <w:szCs w:val="24"/>
    </w:rPr>
  </w:style>
  <w:style w:type="paragraph" w:styleId="afb">
    <w:name w:val="List"/>
    <w:basedOn w:val="a"/>
    <w:rsid w:val="003F478E"/>
    <w:pPr>
      <w:tabs>
        <w:tab w:val="left" w:pos="360"/>
        <w:tab w:val="left" w:pos="720"/>
        <w:tab w:val="left" w:pos="1080"/>
        <w:tab w:val="left" w:pos="1440"/>
        <w:tab w:val="left" w:pos="1800"/>
      </w:tabs>
      <w:spacing w:after="240"/>
      <w:ind w:left="360" w:hanging="360"/>
      <w:jc w:val="left"/>
    </w:pPr>
    <w:rPr>
      <w:sz w:val="24"/>
      <w:szCs w:val="24"/>
    </w:rPr>
  </w:style>
  <w:style w:type="paragraph" w:styleId="24">
    <w:name w:val="List 2"/>
    <w:basedOn w:val="a"/>
    <w:rsid w:val="003F478E"/>
    <w:pPr>
      <w:tabs>
        <w:tab w:val="left" w:pos="360"/>
        <w:tab w:val="left" w:pos="720"/>
        <w:tab w:val="left" w:pos="1080"/>
        <w:tab w:val="left" w:pos="1440"/>
        <w:tab w:val="left" w:pos="1800"/>
      </w:tabs>
      <w:spacing w:after="240"/>
      <w:ind w:left="720" w:hanging="360"/>
      <w:jc w:val="left"/>
    </w:pPr>
    <w:rPr>
      <w:sz w:val="24"/>
      <w:szCs w:val="24"/>
    </w:rPr>
  </w:style>
  <w:style w:type="paragraph" w:styleId="34">
    <w:name w:val="List 3"/>
    <w:basedOn w:val="a"/>
    <w:rsid w:val="003F478E"/>
    <w:pPr>
      <w:tabs>
        <w:tab w:val="left" w:pos="360"/>
        <w:tab w:val="left" w:pos="720"/>
        <w:tab w:val="left" w:pos="1080"/>
        <w:tab w:val="left" w:pos="1440"/>
        <w:tab w:val="left" w:pos="1800"/>
      </w:tabs>
      <w:spacing w:after="240"/>
      <w:ind w:left="1080" w:hanging="360"/>
      <w:jc w:val="left"/>
    </w:pPr>
    <w:rPr>
      <w:sz w:val="24"/>
      <w:szCs w:val="24"/>
    </w:rPr>
  </w:style>
  <w:style w:type="paragraph" w:styleId="41">
    <w:name w:val="List 4"/>
    <w:basedOn w:val="a"/>
    <w:rsid w:val="003F478E"/>
    <w:pPr>
      <w:tabs>
        <w:tab w:val="left" w:pos="360"/>
        <w:tab w:val="left" w:pos="720"/>
        <w:tab w:val="left" w:pos="1080"/>
        <w:tab w:val="left" w:pos="1440"/>
        <w:tab w:val="left" w:pos="1800"/>
      </w:tabs>
      <w:spacing w:after="240"/>
      <w:ind w:left="1440" w:hanging="360"/>
      <w:jc w:val="left"/>
    </w:pPr>
    <w:rPr>
      <w:sz w:val="24"/>
      <w:szCs w:val="24"/>
    </w:rPr>
  </w:style>
  <w:style w:type="paragraph" w:styleId="51">
    <w:name w:val="List 5"/>
    <w:basedOn w:val="a"/>
    <w:rsid w:val="003F478E"/>
    <w:pPr>
      <w:tabs>
        <w:tab w:val="left" w:pos="360"/>
        <w:tab w:val="left" w:pos="720"/>
        <w:tab w:val="left" w:pos="1080"/>
        <w:tab w:val="left" w:pos="1440"/>
        <w:tab w:val="left" w:pos="1800"/>
      </w:tabs>
      <w:spacing w:after="240"/>
      <w:ind w:left="1800" w:hanging="360"/>
      <w:jc w:val="left"/>
    </w:pPr>
    <w:rPr>
      <w:sz w:val="24"/>
      <w:szCs w:val="24"/>
    </w:rPr>
  </w:style>
  <w:style w:type="paragraph" w:styleId="afc">
    <w:name w:val="List Bullet"/>
    <w:basedOn w:val="a"/>
    <w:autoRedefine/>
    <w:rsid w:val="003F478E"/>
    <w:pPr>
      <w:tabs>
        <w:tab w:val="left" w:pos="360"/>
        <w:tab w:val="left" w:pos="720"/>
        <w:tab w:val="left" w:pos="1080"/>
        <w:tab w:val="left" w:pos="1440"/>
        <w:tab w:val="left" w:pos="1800"/>
      </w:tabs>
      <w:spacing w:after="240"/>
      <w:ind w:left="360" w:hanging="360"/>
      <w:jc w:val="left"/>
    </w:pPr>
    <w:rPr>
      <w:sz w:val="24"/>
      <w:szCs w:val="24"/>
    </w:rPr>
  </w:style>
  <w:style w:type="paragraph" w:styleId="25">
    <w:name w:val="List Bullet 2"/>
    <w:basedOn w:val="a"/>
    <w:autoRedefine/>
    <w:rsid w:val="003F478E"/>
    <w:pPr>
      <w:tabs>
        <w:tab w:val="left" w:pos="360"/>
        <w:tab w:val="left" w:pos="720"/>
        <w:tab w:val="left" w:pos="1080"/>
        <w:tab w:val="left" w:pos="1440"/>
        <w:tab w:val="left" w:pos="1800"/>
      </w:tabs>
      <w:spacing w:after="240"/>
      <w:ind w:left="720" w:hanging="360"/>
      <w:jc w:val="left"/>
    </w:pPr>
    <w:rPr>
      <w:sz w:val="24"/>
      <w:szCs w:val="24"/>
    </w:rPr>
  </w:style>
  <w:style w:type="paragraph" w:styleId="35">
    <w:name w:val="List Bullet 3"/>
    <w:basedOn w:val="a"/>
    <w:autoRedefine/>
    <w:rsid w:val="003F478E"/>
    <w:pPr>
      <w:tabs>
        <w:tab w:val="left" w:pos="360"/>
        <w:tab w:val="left" w:pos="720"/>
        <w:tab w:val="left" w:pos="1080"/>
        <w:tab w:val="left" w:pos="1440"/>
        <w:tab w:val="left" w:pos="1800"/>
      </w:tabs>
      <w:spacing w:after="240"/>
      <w:ind w:left="1080" w:hanging="360"/>
      <w:jc w:val="left"/>
    </w:pPr>
    <w:rPr>
      <w:sz w:val="24"/>
      <w:szCs w:val="24"/>
    </w:rPr>
  </w:style>
  <w:style w:type="paragraph" w:styleId="42">
    <w:name w:val="List Bullet 4"/>
    <w:basedOn w:val="a"/>
    <w:autoRedefine/>
    <w:rsid w:val="003F478E"/>
    <w:pPr>
      <w:tabs>
        <w:tab w:val="left" w:pos="360"/>
        <w:tab w:val="left" w:pos="720"/>
        <w:tab w:val="left" w:pos="1080"/>
        <w:tab w:val="left" w:pos="1440"/>
        <w:tab w:val="left" w:pos="1800"/>
      </w:tabs>
      <w:spacing w:after="240"/>
      <w:ind w:left="1440" w:hanging="360"/>
      <w:jc w:val="left"/>
    </w:pPr>
    <w:rPr>
      <w:sz w:val="24"/>
      <w:szCs w:val="24"/>
    </w:rPr>
  </w:style>
  <w:style w:type="paragraph" w:styleId="52">
    <w:name w:val="List Bullet 5"/>
    <w:basedOn w:val="a"/>
    <w:autoRedefine/>
    <w:rsid w:val="003F478E"/>
    <w:pPr>
      <w:tabs>
        <w:tab w:val="left" w:pos="360"/>
        <w:tab w:val="left" w:pos="720"/>
        <w:tab w:val="left" w:pos="1080"/>
        <w:tab w:val="left" w:pos="1440"/>
        <w:tab w:val="left" w:pos="1800"/>
      </w:tabs>
      <w:spacing w:after="240"/>
      <w:ind w:left="1800" w:hanging="360"/>
      <w:jc w:val="left"/>
    </w:pPr>
    <w:rPr>
      <w:sz w:val="24"/>
      <w:szCs w:val="24"/>
    </w:rPr>
  </w:style>
  <w:style w:type="paragraph" w:styleId="afd">
    <w:name w:val="List Continue"/>
    <w:basedOn w:val="a8"/>
    <w:rsid w:val="003F478E"/>
    <w:pPr>
      <w:spacing w:after="240"/>
      <w:ind w:left="360"/>
      <w:jc w:val="left"/>
    </w:pPr>
    <w:rPr>
      <w:sz w:val="24"/>
      <w:szCs w:val="24"/>
    </w:rPr>
  </w:style>
  <w:style w:type="paragraph" w:styleId="afe">
    <w:name w:val="Normal Indent"/>
    <w:basedOn w:val="a"/>
    <w:rsid w:val="003F478E"/>
    <w:pPr>
      <w:ind w:left="360"/>
      <w:jc w:val="left"/>
    </w:pPr>
    <w:rPr>
      <w:sz w:val="24"/>
      <w:szCs w:val="24"/>
    </w:rPr>
  </w:style>
  <w:style w:type="paragraph" w:styleId="26">
    <w:name w:val="List Continue 2"/>
    <w:basedOn w:val="a8"/>
    <w:rsid w:val="003F478E"/>
    <w:pPr>
      <w:spacing w:after="240"/>
      <w:ind w:left="720"/>
      <w:jc w:val="left"/>
    </w:pPr>
    <w:rPr>
      <w:sz w:val="24"/>
      <w:szCs w:val="24"/>
    </w:rPr>
  </w:style>
  <w:style w:type="paragraph" w:styleId="36">
    <w:name w:val="List Continue 3"/>
    <w:basedOn w:val="a8"/>
    <w:rsid w:val="003F478E"/>
    <w:pPr>
      <w:spacing w:after="240"/>
      <w:ind w:left="1080"/>
      <w:jc w:val="left"/>
    </w:pPr>
    <w:rPr>
      <w:sz w:val="24"/>
      <w:szCs w:val="24"/>
    </w:rPr>
  </w:style>
  <w:style w:type="paragraph" w:styleId="43">
    <w:name w:val="List Continue 4"/>
    <w:basedOn w:val="a8"/>
    <w:rsid w:val="003F478E"/>
    <w:pPr>
      <w:spacing w:after="240"/>
      <w:ind w:left="1440"/>
      <w:jc w:val="left"/>
    </w:pPr>
    <w:rPr>
      <w:sz w:val="24"/>
      <w:szCs w:val="24"/>
    </w:rPr>
  </w:style>
  <w:style w:type="paragraph" w:styleId="53">
    <w:name w:val="List Continue 5"/>
    <w:basedOn w:val="a8"/>
    <w:rsid w:val="003F478E"/>
    <w:pPr>
      <w:spacing w:after="240"/>
      <w:ind w:left="1800"/>
      <w:jc w:val="left"/>
    </w:pPr>
    <w:rPr>
      <w:sz w:val="24"/>
      <w:szCs w:val="24"/>
    </w:rPr>
  </w:style>
  <w:style w:type="paragraph" w:styleId="aff">
    <w:name w:val="List Number"/>
    <w:basedOn w:val="a"/>
    <w:rsid w:val="003F478E"/>
    <w:pPr>
      <w:tabs>
        <w:tab w:val="left" w:pos="360"/>
        <w:tab w:val="left" w:pos="720"/>
        <w:tab w:val="left" w:pos="1080"/>
        <w:tab w:val="left" w:pos="1440"/>
        <w:tab w:val="left" w:pos="1800"/>
      </w:tabs>
      <w:spacing w:after="240"/>
      <w:ind w:left="360" w:hanging="360"/>
      <w:jc w:val="left"/>
    </w:pPr>
    <w:rPr>
      <w:sz w:val="24"/>
      <w:szCs w:val="24"/>
    </w:rPr>
  </w:style>
  <w:style w:type="paragraph" w:styleId="27">
    <w:name w:val="List Number 2"/>
    <w:basedOn w:val="a"/>
    <w:rsid w:val="003F478E"/>
    <w:pPr>
      <w:tabs>
        <w:tab w:val="left" w:pos="360"/>
        <w:tab w:val="left" w:pos="720"/>
        <w:tab w:val="left" w:pos="1080"/>
        <w:tab w:val="left" w:pos="1440"/>
        <w:tab w:val="left" w:pos="1800"/>
      </w:tabs>
      <w:spacing w:after="240"/>
      <w:ind w:left="720" w:hanging="360"/>
      <w:jc w:val="left"/>
    </w:pPr>
    <w:rPr>
      <w:sz w:val="24"/>
      <w:szCs w:val="24"/>
    </w:rPr>
  </w:style>
  <w:style w:type="paragraph" w:styleId="37">
    <w:name w:val="List Number 3"/>
    <w:basedOn w:val="a"/>
    <w:rsid w:val="003F478E"/>
    <w:pPr>
      <w:tabs>
        <w:tab w:val="left" w:pos="360"/>
        <w:tab w:val="left" w:pos="720"/>
        <w:tab w:val="left" w:pos="1080"/>
        <w:tab w:val="left" w:pos="1440"/>
        <w:tab w:val="left" w:pos="1800"/>
      </w:tabs>
      <w:spacing w:after="240"/>
      <w:ind w:left="1080" w:hanging="360"/>
      <w:jc w:val="left"/>
    </w:pPr>
    <w:rPr>
      <w:sz w:val="24"/>
      <w:szCs w:val="24"/>
    </w:rPr>
  </w:style>
  <w:style w:type="paragraph" w:styleId="44">
    <w:name w:val="List Number 4"/>
    <w:basedOn w:val="a"/>
    <w:rsid w:val="003F478E"/>
    <w:pPr>
      <w:tabs>
        <w:tab w:val="left" w:pos="360"/>
        <w:tab w:val="left" w:pos="720"/>
        <w:tab w:val="left" w:pos="1080"/>
        <w:tab w:val="left" w:pos="1440"/>
        <w:tab w:val="left" w:pos="1800"/>
      </w:tabs>
      <w:spacing w:after="240"/>
      <w:ind w:left="1440" w:hanging="360"/>
      <w:jc w:val="left"/>
    </w:pPr>
    <w:rPr>
      <w:sz w:val="24"/>
      <w:szCs w:val="24"/>
    </w:rPr>
  </w:style>
  <w:style w:type="paragraph" w:styleId="54">
    <w:name w:val="List Number 5"/>
    <w:basedOn w:val="a"/>
    <w:rsid w:val="003F478E"/>
    <w:pPr>
      <w:tabs>
        <w:tab w:val="left" w:pos="360"/>
        <w:tab w:val="left" w:pos="720"/>
        <w:tab w:val="left" w:pos="1080"/>
        <w:tab w:val="left" w:pos="1440"/>
        <w:tab w:val="left" w:pos="1800"/>
      </w:tabs>
      <w:spacing w:after="240"/>
      <w:ind w:left="1800" w:hanging="360"/>
      <w:jc w:val="left"/>
    </w:pPr>
    <w:rPr>
      <w:sz w:val="24"/>
      <w:szCs w:val="24"/>
    </w:rPr>
  </w:style>
  <w:style w:type="paragraph" w:styleId="aff0">
    <w:name w:val="macro"/>
    <w:link w:val="aff1"/>
    <w:rsid w:val="003F47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1">
    <w:name w:val="Текст макроса Знак"/>
    <w:basedOn w:val="a1"/>
    <w:link w:val="aff0"/>
    <w:rsid w:val="003F478E"/>
    <w:rPr>
      <w:rFonts w:ascii="Courier New" w:hAnsi="Courier New" w:cs="Courier New"/>
    </w:rPr>
  </w:style>
  <w:style w:type="paragraph" w:styleId="aff2">
    <w:name w:val="Signature"/>
    <w:basedOn w:val="a0"/>
    <w:next w:val="a0"/>
    <w:link w:val="aff3"/>
    <w:rsid w:val="003F478E"/>
    <w:pPr>
      <w:spacing w:after="240" w:line="240" w:lineRule="auto"/>
      <w:jc w:val="left"/>
    </w:pPr>
    <w:rPr>
      <w:b w:val="0"/>
      <w:sz w:val="24"/>
      <w:szCs w:val="24"/>
      <w:lang w:val="en-US"/>
    </w:rPr>
  </w:style>
  <w:style w:type="character" w:customStyle="1" w:styleId="aff3">
    <w:name w:val="Подпись Знак"/>
    <w:basedOn w:val="a1"/>
    <w:link w:val="aff2"/>
    <w:rsid w:val="003F478E"/>
    <w:rPr>
      <w:sz w:val="24"/>
      <w:szCs w:val="24"/>
    </w:rPr>
  </w:style>
  <w:style w:type="paragraph" w:styleId="aff4">
    <w:name w:val="table of authorities"/>
    <w:basedOn w:val="a0"/>
    <w:next w:val="a"/>
    <w:rsid w:val="003F478E"/>
    <w:pPr>
      <w:tabs>
        <w:tab w:val="right" w:pos="9360"/>
      </w:tabs>
      <w:spacing w:after="240" w:line="240" w:lineRule="auto"/>
      <w:ind w:left="475" w:hanging="475"/>
      <w:jc w:val="left"/>
    </w:pPr>
    <w:rPr>
      <w:b w:val="0"/>
      <w:sz w:val="24"/>
      <w:szCs w:val="24"/>
      <w:lang w:val="en-US"/>
    </w:rPr>
  </w:style>
  <w:style w:type="paragraph" w:styleId="aff5">
    <w:name w:val="table of figures"/>
    <w:basedOn w:val="a0"/>
    <w:next w:val="a"/>
    <w:rsid w:val="003F478E"/>
    <w:pPr>
      <w:tabs>
        <w:tab w:val="right" w:pos="9360"/>
      </w:tabs>
      <w:spacing w:after="240" w:line="240" w:lineRule="auto"/>
      <w:ind w:left="475" w:hanging="475"/>
      <w:jc w:val="left"/>
    </w:pPr>
    <w:rPr>
      <w:b w:val="0"/>
      <w:sz w:val="24"/>
      <w:szCs w:val="24"/>
      <w:lang w:val="en-US"/>
    </w:rPr>
  </w:style>
  <w:style w:type="paragraph" w:styleId="aff6">
    <w:name w:val="toa heading"/>
    <w:basedOn w:val="a"/>
    <w:next w:val="a"/>
    <w:rsid w:val="003F478E"/>
    <w:pPr>
      <w:keepNext/>
      <w:spacing w:after="360"/>
      <w:jc w:val="left"/>
    </w:pPr>
    <w:rPr>
      <w:b/>
      <w:bCs/>
      <w:i/>
      <w:iCs/>
      <w:kern w:val="28"/>
      <w:sz w:val="72"/>
      <w:szCs w:val="72"/>
    </w:rPr>
  </w:style>
  <w:style w:type="paragraph" w:styleId="12">
    <w:name w:val="toc 1"/>
    <w:basedOn w:val="a"/>
    <w:next w:val="a0"/>
    <w:autoRedefine/>
    <w:rsid w:val="003F478E"/>
    <w:pPr>
      <w:tabs>
        <w:tab w:val="right" w:pos="9360"/>
      </w:tabs>
      <w:spacing w:before="180"/>
      <w:jc w:val="left"/>
    </w:pPr>
    <w:rPr>
      <w:sz w:val="24"/>
      <w:szCs w:val="24"/>
    </w:rPr>
  </w:style>
  <w:style w:type="paragraph" w:styleId="28">
    <w:name w:val="toc 2"/>
    <w:basedOn w:val="12"/>
    <w:next w:val="a0"/>
    <w:autoRedefine/>
    <w:rsid w:val="003F478E"/>
    <w:pPr>
      <w:spacing w:before="0"/>
      <w:ind w:left="245"/>
    </w:pPr>
  </w:style>
  <w:style w:type="paragraph" w:styleId="38">
    <w:name w:val="toc 3"/>
    <w:basedOn w:val="12"/>
    <w:next w:val="a0"/>
    <w:autoRedefine/>
    <w:rsid w:val="003F478E"/>
    <w:pPr>
      <w:spacing w:before="0"/>
      <w:ind w:left="475"/>
    </w:pPr>
  </w:style>
  <w:style w:type="paragraph" w:styleId="45">
    <w:name w:val="toc 4"/>
    <w:basedOn w:val="12"/>
    <w:next w:val="a0"/>
    <w:autoRedefine/>
    <w:rsid w:val="003F478E"/>
    <w:pPr>
      <w:spacing w:before="0"/>
      <w:ind w:left="720"/>
    </w:pPr>
  </w:style>
  <w:style w:type="paragraph" w:styleId="55">
    <w:name w:val="toc 5"/>
    <w:basedOn w:val="12"/>
    <w:next w:val="a0"/>
    <w:autoRedefine/>
    <w:rsid w:val="003F478E"/>
    <w:pPr>
      <w:spacing w:before="0"/>
      <w:ind w:left="965"/>
    </w:pPr>
  </w:style>
  <w:style w:type="paragraph" w:styleId="61">
    <w:name w:val="toc 6"/>
    <w:basedOn w:val="12"/>
    <w:next w:val="a0"/>
    <w:autoRedefine/>
    <w:rsid w:val="003F478E"/>
    <w:pPr>
      <w:spacing w:before="0"/>
      <w:ind w:left="1195"/>
    </w:pPr>
  </w:style>
  <w:style w:type="paragraph" w:styleId="71">
    <w:name w:val="toc 7"/>
    <w:basedOn w:val="12"/>
    <w:next w:val="a0"/>
    <w:autoRedefine/>
    <w:rsid w:val="003F478E"/>
    <w:pPr>
      <w:spacing w:before="0"/>
      <w:ind w:left="1440"/>
    </w:pPr>
  </w:style>
  <w:style w:type="paragraph" w:styleId="81">
    <w:name w:val="toc 8"/>
    <w:basedOn w:val="12"/>
    <w:next w:val="a0"/>
    <w:autoRedefine/>
    <w:rsid w:val="003F478E"/>
    <w:pPr>
      <w:spacing w:before="0"/>
      <w:ind w:left="1685"/>
    </w:pPr>
  </w:style>
  <w:style w:type="paragraph" w:styleId="90">
    <w:name w:val="toc 9"/>
    <w:basedOn w:val="12"/>
    <w:next w:val="a0"/>
    <w:autoRedefine/>
    <w:rsid w:val="003F478E"/>
    <w:pPr>
      <w:spacing w:before="0"/>
      <w:ind w:left="1915"/>
    </w:pPr>
  </w:style>
  <w:style w:type="paragraph" w:styleId="13">
    <w:name w:val="index 1"/>
    <w:basedOn w:val="a0"/>
    <w:next w:val="a0"/>
    <w:autoRedefine/>
    <w:rsid w:val="003F478E"/>
    <w:pPr>
      <w:tabs>
        <w:tab w:val="right" w:pos="9360"/>
      </w:tabs>
      <w:spacing w:after="240" w:line="240" w:lineRule="auto"/>
      <w:ind w:left="202" w:hanging="202"/>
      <w:jc w:val="left"/>
    </w:pPr>
    <w:rPr>
      <w:b w:val="0"/>
      <w:sz w:val="24"/>
      <w:szCs w:val="24"/>
      <w:lang w:val="en-US"/>
    </w:rPr>
  </w:style>
  <w:style w:type="paragraph" w:styleId="29">
    <w:name w:val="index 2"/>
    <w:basedOn w:val="13"/>
    <w:next w:val="a0"/>
    <w:autoRedefine/>
    <w:rsid w:val="003F478E"/>
    <w:pPr>
      <w:ind w:left="404"/>
    </w:pPr>
  </w:style>
  <w:style w:type="paragraph" w:styleId="39">
    <w:name w:val="index 3"/>
    <w:basedOn w:val="13"/>
    <w:next w:val="a0"/>
    <w:autoRedefine/>
    <w:rsid w:val="003F478E"/>
    <w:pPr>
      <w:ind w:left="605"/>
    </w:pPr>
  </w:style>
  <w:style w:type="paragraph" w:styleId="46">
    <w:name w:val="index 4"/>
    <w:basedOn w:val="13"/>
    <w:next w:val="a0"/>
    <w:autoRedefine/>
    <w:rsid w:val="003F478E"/>
    <w:pPr>
      <w:ind w:left="807"/>
    </w:pPr>
  </w:style>
  <w:style w:type="paragraph" w:styleId="56">
    <w:name w:val="index 5"/>
    <w:basedOn w:val="13"/>
    <w:next w:val="a0"/>
    <w:autoRedefine/>
    <w:rsid w:val="003F478E"/>
    <w:pPr>
      <w:ind w:left="1008"/>
    </w:pPr>
  </w:style>
  <w:style w:type="paragraph" w:styleId="62">
    <w:name w:val="index 6"/>
    <w:basedOn w:val="13"/>
    <w:next w:val="a0"/>
    <w:autoRedefine/>
    <w:rsid w:val="003F478E"/>
    <w:pPr>
      <w:ind w:left="1196"/>
    </w:pPr>
  </w:style>
  <w:style w:type="paragraph" w:styleId="72">
    <w:name w:val="index 7"/>
    <w:basedOn w:val="13"/>
    <w:next w:val="a0"/>
    <w:autoRedefine/>
    <w:rsid w:val="003F478E"/>
    <w:pPr>
      <w:ind w:left="1397"/>
    </w:pPr>
  </w:style>
  <w:style w:type="paragraph" w:styleId="82">
    <w:name w:val="index 8"/>
    <w:basedOn w:val="13"/>
    <w:next w:val="a0"/>
    <w:autoRedefine/>
    <w:rsid w:val="003F478E"/>
    <w:pPr>
      <w:ind w:left="1599"/>
    </w:pPr>
  </w:style>
  <w:style w:type="paragraph" w:styleId="91">
    <w:name w:val="index 9"/>
    <w:basedOn w:val="13"/>
    <w:next w:val="a0"/>
    <w:autoRedefine/>
    <w:rsid w:val="003F478E"/>
    <w:pPr>
      <w:ind w:left="1800"/>
    </w:pPr>
  </w:style>
  <w:style w:type="paragraph" w:styleId="aff7">
    <w:name w:val="index heading"/>
    <w:basedOn w:val="aff6"/>
    <w:next w:val="13"/>
    <w:rsid w:val="003F478E"/>
    <w:rPr>
      <w:b w:val="0"/>
      <w:bCs w:val="0"/>
    </w:rPr>
  </w:style>
  <w:style w:type="paragraph" w:styleId="2a">
    <w:name w:val="envelope return"/>
    <w:basedOn w:val="a"/>
    <w:rsid w:val="003F478E"/>
    <w:pPr>
      <w:jc w:val="left"/>
    </w:pPr>
    <w:rPr>
      <w:rFonts w:ascii="Arial" w:hAnsi="Arial" w:cs="Arial"/>
      <w:sz w:val="24"/>
      <w:szCs w:val="24"/>
    </w:rPr>
  </w:style>
  <w:style w:type="paragraph" w:styleId="aff8">
    <w:name w:val="endnote text"/>
    <w:basedOn w:val="a0"/>
    <w:link w:val="aff9"/>
    <w:rsid w:val="003F478E"/>
    <w:pPr>
      <w:spacing w:after="240" w:line="240" w:lineRule="auto"/>
      <w:jc w:val="left"/>
    </w:pPr>
    <w:rPr>
      <w:b w:val="0"/>
      <w:sz w:val="24"/>
      <w:szCs w:val="24"/>
      <w:lang w:val="en-US"/>
    </w:rPr>
  </w:style>
  <w:style w:type="character" w:customStyle="1" w:styleId="aff9">
    <w:name w:val="Текст концевой сноски Знак"/>
    <w:basedOn w:val="a1"/>
    <w:link w:val="aff8"/>
    <w:rsid w:val="003F478E"/>
    <w:rPr>
      <w:sz w:val="24"/>
      <w:szCs w:val="24"/>
    </w:rPr>
  </w:style>
  <w:style w:type="paragraph" w:styleId="affa">
    <w:name w:val="Closing"/>
    <w:basedOn w:val="a0"/>
    <w:next w:val="aff2"/>
    <w:link w:val="affb"/>
    <w:rsid w:val="003F478E"/>
    <w:pPr>
      <w:spacing w:after="860" w:line="240" w:lineRule="auto"/>
      <w:jc w:val="left"/>
    </w:pPr>
    <w:rPr>
      <w:b w:val="0"/>
      <w:sz w:val="24"/>
      <w:szCs w:val="24"/>
      <w:lang w:val="en-US"/>
    </w:rPr>
  </w:style>
  <w:style w:type="character" w:customStyle="1" w:styleId="affb">
    <w:name w:val="Прощание Знак"/>
    <w:basedOn w:val="a1"/>
    <w:link w:val="affa"/>
    <w:rsid w:val="003F478E"/>
    <w:rPr>
      <w:sz w:val="24"/>
      <w:szCs w:val="24"/>
    </w:rPr>
  </w:style>
  <w:style w:type="character" w:styleId="affc">
    <w:name w:val="endnote reference"/>
    <w:rsid w:val="003F478E"/>
    <w:rPr>
      <w:rFonts w:ascii="Times New Roman" w:hAnsi="Times New Roman" w:cs="Times New Roman"/>
      <w:position w:val="6"/>
      <w:sz w:val="20"/>
      <w:szCs w:val="20"/>
      <w:vertAlign w:val="baseline"/>
    </w:rPr>
  </w:style>
  <w:style w:type="character" w:styleId="affd">
    <w:name w:val="line number"/>
    <w:rsid w:val="003F478E"/>
    <w:rPr>
      <w:rFonts w:ascii="Arial" w:hAnsi="Arial" w:cs="Arial"/>
      <w:sz w:val="16"/>
      <w:szCs w:val="16"/>
    </w:rPr>
  </w:style>
  <w:style w:type="paragraph" w:styleId="affe">
    <w:name w:val="Message Header"/>
    <w:basedOn w:val="a0"/>
    <w:link w:val="afff"/>
    <w:rsid w:val="003F478E"/>
    <w:pPr>
      <w:spacing w:after="240" w:line="240" w:lineRule="auto"/>
      <w:ind w:left="1080" w:hanging="1080"/>
      <w:jc w:val="left"/>
    </w:pPr>
    <w:rPr>
      <w:rFonts w:ascii="Arial" w:hAnsi="Arial" w:cs="Arial"/>
      <w:bCs/>
      <w:sz w:val="24"/>
      <w:szCs w:val="24"/>
      <w:lang w:val="en-US"/>
    </w:rPr>
  </w:style>
  <w:style w:type="character" w:customStyle="1" w:styleId="afff">
    <w:name w:val="Шапка Знак"/>
    <w:basedOn w:val="a1"/>
    <w:link w:val="affe"/>
    <w:rsid w:val="003F478E"/>
    <w:rPr>
      <w:rFonts w:ascii="Arial" w:hAnsi="Arial" w:cs="Arial"/>
      <w:b/>
      <w:bCs/>
      <w:sz w:val="24"/>
      <w:szCs w:val="24"/>
    </w:rPr>
  </w:style>
  <w:style w:type="paragraph" w:styleId="afff0">
    <w:name w:val="caption"/>
    <w:basedOn w:val="a0"/>
    <w:next w:val="a"/>
    <w:qFormat/>
    <w:rsid w:val="003F478E"/>
    <w:pPr>
      <w:keepLines/>
      <w:spacing w:before="120" w:after="120" w:line="240" w:lineRule="auto"/>
      <w:jc w:val="left"/>
    </w:pPr>
    <w:rPr>
      <w:rFonts w:ascii="Arial" w:hAnsi="Arial" w:cs="Arial"/>
      <w:bCs/>
      <w:lang w:val="en-US"/>
    </w:rPr>
  </w:style>
  <w:style w:type="paragraph" w:styleId="afff1">
    <w:name w:val="Subtitle"/>
    <w:basedOn w:val="2"/>
    <w:next w:val="a0"/>
    <w:link w:val="afff2"/>
    <w:qFormat/>
    <w:rsid w:val="003F478E"/>
    <w:pPr>
      <w:outlineLvl w:val="9"/>
    </w:pPr>
  </w:style>
  <w:style w:type="character" w:customStyle="1" w:styleId="afff2">
    <w:name w:val="Подзаголовок Знак"/>
    <w:basedOn w:val="a1"/>
    <w:link w:val="afff1"/>
    <w:rsid w:val="003F478E"/>
  </w:style>
  <w:style w:type="paragraph" w:styleId="afff3">
    <w:name w:val="Title"/>
    <w:basedOn w:val="aff6"/>
    <w:next w:val="afff1"/>
    <w:link w:val="afff4"/>
    <w:qFormat/>
    <w:rsid w:val="003F478E"/>
  </w:style>
  <w:style w:type="character" w:customStyle="1" w:styleId="afff4">
    <w:name w:val="Название Знак"/>
    <w:basedOn w:val="a1"/>
    <w:link w:val="afff3"/>
    <w:rsid w:val="003F478E"/>
    <w:rPr>
      <w:b/>
      <w:bCs/>
      <w:i/>
      <w:iCs/>
      <w:kern w:val="28"/>
      <w:sz w:val="72"/>
      <w:szCs w:val="72"/>
    </w:rPr>
  </w:style>
  <w:style w:type="paragraph" w:customStyle="1" w:styleId="HangingIndent1">
    <w:name w:val="Hanging Indent 1"/>
    <w:basedOn w:val="a0"/>
    <w:rsid w:val="003F478E"/>
    <w:pPr>
      <w:spacing w:after="240" w:line="240" w:lineRule="auto"/>
      <w:ind w:left="360" w:hanging="360"/>
      <w:jc w:val="left"/>
    </w:pPr>
    <w:rPr>
      <w:b w:val="0"/>
      <w:sz w:val="24"/>
      <w:szCs w:val="24"/>
      <w:lang w:val="en-US"/>
    </w:rPr>
  </w:style>
  <w:style w:type="paragraph" w:customStyle="1" w:styleId="HangingIndent2">
    <w:name w:val="Hanging Indent 2"/>
    <w:basedOn w:val="a0"/>
    <w:rsid w:val="003F478E"/>
    <w:pPr>
      <w:spacing w:after="240" w:line="240" w:lineRule="auto"/>
      <w:ind w:left="720" w:hanging="360"/>
      <w:jc w:val="left"/>
    </w:pPr>
    <w:rPr>
      <w:b w:val="0"/>
      <w:sz w:val="24"/>
      <w:szCs w:val="24"/>
      <w:lang w:val="en-US"/>
    </w:rPr>
  </w:style>
  <w:style w:type="paragraph" w:customStyle="1" w:styleId="HangingIndent3">
    <w:name w:val="Hanging Indent 3"/>
    <w:basedOn w:val="a0"/>
    <w:rsid w:val="003F478E"/>
    <w:pPr>
      <w:spacing w:after="240" w:line="240" w:lineRule="auto"/>
      <w:ind w:left="1080" w:hanging="360"/>
      <w:jc w:val="left"/>
    </w:pPr>
    <w:rPr>
      <w:b w:val="0"/>
      <w:sz w:val="24"/>
      <w:szCs w:val="24"/>
      <w:lang w:val="en-US"/>
    </w:rPr>
  </w:style>
  <w:style w:type="paragraph" w:customStyle="1" w:styleId="HangingIndent4">
    <w:name w:val="Hanging Indent 4"/>
    <w:basedOn w:val="a0"/>
    <w:rsid w:val="003F478E"/>
    <w:pPr>
      <w:spacing w:after="240" w:line="240" w:lineRule="auto"/>
      <w:ind w:left="1440" w:hanging="360"/>
      <w:jc w:val="left"/>
    </w:pPr>
    <w:rPr>
      <w:b w:val="0"/>
      <w:sz w:val="24"/>
      <w:szCs w:val="24"/>
      <w:lang w:val="en-US"/>
    </w:rPr>
  </w:style>
  <w:style w:type="paragraph" w:customStyle="1" w:styleId="HangingIndent5">
    <w:name w:val="Hanging Indent 5"/>
    <w:basedOn w:val="a0"/>
    <w:rsid w:val="003F478E"/>
    <w:pPr>
      <w:spacing w:after="240" w:line="240" w:lineRule="auto"/>
      <w:ind w:left="1800" w:hanging="360"/>
      <w:jc w:val="left"/>
    </w:pPr>
    <w:rPr>
      <w:b w:val="0"/>
      <w:sz w:val="24"/>
      <w:szCs w:val="24"/>
      <w:lang w:val="en-US"/>
    </w:rPr>
  </w:style>
  <w:style w:type="paragraph" w:customStyle="1" w:styleId="Bul-1">
    <w:name w:val="Bul-1"/>
    <w:basedOn w:val="a"/>
    <w:rsid w:val="003F478E"/>
    <w:pPr>
      <w:tabs>
        <w:tab w:val="left" w:pos="576"/>
        <w:tab w:val="left" w:pos="1152"/>
        <w:tab w:val="left" w:pos="1728"/>
        <w:tab w:val="left" w:pos="2304"/>
        <w:tab w:val="left" w:pos="2880"/>
        <w:tab w:val="left" w:pos="3456"/>
        <w:tab w:val="left" w:pos="4032"/>
      </w:tabs>
      <w:spacing w:after="240"/>
      <w:ind w:left="576" w:hanging="576"/>
    </w:pPr>
    <w:rPr>
      <w:rFonts w:ascii="Tms Rmn" w:hAnsi="Tms Rmn" w:cs="Tms Rmn"/>
      <w:sz w:val="24"/>
      <w:szCs w:val="24"/>
    </w:rPr>
  </w:style>
  <w:style w:type="paragraph" w:customStyle="1" w:styleId="zMC">
    <w:name w:val="z_MC"/>
    <w:basedOn w:val="a"/>
    <w:rsid w:val="003F478E"/>
    <w:pPr>
      <w:framePr w:w="4423" w:wrap="notBeside" w:vAnchor="page" w:hAnchor="page" w:x="6312" w:y="1475"/>
      <w:jc w:val="left"/>
    </w:pPr>
    <w:rPr>
      <w:rFonts w:ascii="Arial Narrow" w:hAnsi="Arial Narrow" w:cs="Arial Narrow"/>
      <w:spacing w:val="-20"/>
      <w:sz w:val="40"/>
      <w:szCs w:val="40"/>
    </w:rPr>
  </w:style>
  <w:style w:type="paragraph" w:customStyle="1" w:styleId="zDivision">
    <w:name w:val="z_Division"/>
    <w:basedOn w:val="a"/>
    <w:next w:val="a"/>
    <w:rsid w:val="003F478E"/>
    <w:pPr>
      <w:framePr w:h="220" w:hRule="exact" w:hSpace="180" w:vSpace="180" w:wrap="notBeside" w:vAnchor="page" w:hAnchor="page" w:x="8501" w:y="2321"/>
      <w:jc w:val="left"/>
    </w:pPr>
    <w:rPr>
      <w:rFonts w:ascii="Arial" w:hAnsi="Arial" w:cs="Arial"/>
      <w:sz w:val="17"/>
      <w:szCs w:val="17"/>
    </w:rPr>
  </w:style>
  <w:style w:type="character" w:customStyle="1" w:styleId="BodyText2Char">
    <w:name w:val="Body Text 2 Char"/>
    <w:rsid w:val="003F478E"/>
    <w:rPr>
      <w:rFonts w:ascii="Arial" w:hAnsi="Arial" w:cs="Arial"/>
      <w:sz w:val="15"/>
      <w:szCs w:val="15"/>
      <w:lang w:val="en-US" w:eastAsia="en-US"/>
    </w:rPr>
  </w:style>
  <w:style w:type="character" w:styleId="afff5">
    <w:name w:val="Hyperlink"/>
    <w:rsid w:val="003F478E"/>
    <w:rPr>
      <w:color w:val="0000FF"/>
      <w:u w:val="single"/>
    </w:rPr>
  </w:style>
  <w:style w:type="character" w:customStyle="1" w:styleId="af">
    <w:name w:val="Текст примечания Знак"/>
    <w:basedOn w:val="af4"/>
    <w:link w:val="ae"/>
    <w:uiPriority w:val="99"/>
    <w:semiHidden/>
    <w:rsid w:val="003F478E"/>
    <w:rPr>
      <w:b w:val="0"/>
      <w:lang w:val="ru-RU"/>
    </w:rPr>
  </w:style>
  <w:style w:type="character" w:customStyle="1" w:styleId="af1">
    <w:name w:val="Тема примечания Знак"/>
    <w:link w:val="af0"/>
    <w:rsid w:val="003F478E"/>
    <w:rPr>
      <w:b/>
      <w:bCs/>
    </w:rPr>
  </w:style>
  <w:style w:type="paragraph" w:customStyle="1" w:styleId="3a">
    <w:name w:val="Обычный3"/>
    <w:rsid w:val="003F478E"/>
    <w:pPr>
      <w:autoSpaceDE w:val="0"/>
      <w:autoSpaceDN w:val="0"/>
    </w:pPr>
    <w:rPr>
      <w:lang w:val="en-GB"/>
    </w:rPr>
  </w:style>
  <w:style w:type="character" w:customStyle="1" w:styleId="hps">
    <w:name w:val="hps"/>
    <w:basedOn w:val="a1"/>
    <w:rsid w:val="003F478E"/>
  </w:style>
  <w:style w:type="character" w:customStyle="1" w:styleId="33">
    <w:name w:val="Основной текст 3 Знак"/>
    <w:basedOn w:val="a1"/>
    <w:link w:val="32"/>
    <w:rsid w:val="003F478E"/>
    <w:rPr>
      <w:sz w:val="16"/>
      <w:szCs w:val="16"/>
    </w:rPr>
  </w:style>
  <w:style w:type="character" w:customStyle="1" w:styleId="10">
    <w:name w:val="Заголовок 1 Знак"/>
    <w:aliases w:val="Heading_eng 1 Знак"/>
    <w:basedOn w:val="a1"/>
    <w:link w:val="1"/>
    <w:rsid w:val="00FF7A8A"/>
    <w:rPr>
      <w:b/>
      <w:i/>
      <w:sz w:val="22"/>
    </w:rPr>
  </w:style>
  <w:style w:type="character" w:customStyle="1" w:styleId="aa">
    <w:name w:val="Текст сноски Знак"/>
    <w:link w:val="a9"/>
    <w:rsid w:val="00B928EA"/>
  </w:style>
  <w:style w:type="paragraph" w:customStyle="1" w:styleId="Default">
    <w:name w:val="Default"/>
    <w:rsid w:val="000B2BB2"/>
    <w:pPr>
      <w:autoSpaceDE w:val="0"/>
      <w:autoSpaceDN w:val="0"/>
      <w:adjustRightInd w:val="0"/>
    </w:pPr>
    <w:rPr>
      <w:rFonts w:ascii="Sylfaen" w:hAnsi="Sylfaen" w:cs="Sylfaen"/>
      <w:color w:val="000000"/>
      <w:sz w:val="24"/>
      <w:szCs w:val="24"/>
    </w:rPr>
  </w:style>
  <w:style w:type="character" w:customStyle="1" w:styleId="apple-style-span">
    <w:name w:val="apple-style-span"/>
    <w:rsid w:val="00974BBE"/>
  </w:style>
  <w:style w:type="table" w:customStyle="1" w:styleId="TableGrid1">
    <w:name w:val="Table Grid1"/>
    <w:basedOn w:val="a2"/>
    <w:next w:val="af2"/>
    <w:uiPriority w:val="59"/>
    <w:rsid w:val="00757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Абзац списка Знак"/>
    <w:basedOn w:val="a1"/>
    <w:link w:val="af7"/>
    <w:uiPriority w:val="34"/>
    <w:rsid w:val="001B1AF7"/>
    <w:rPr>
      <w:rFonts w:ascii="Arial" w:eastAsia="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AA9"/>
    <w:pPr>
      <w:jc w:val="both"/>
    </w:pPr>
    <w:rPr>
      <w:sz w:val="22"/>
    </w:rPr>
  </w:style>
  <w:style w:type="paragraph" w:styleId="1">
    <w:name w:val="heading 1"/>
    <w:aliases w:val="Heading_eng 1"/>
    <w:basedOn w:val="a"/>
    <w:next w:val="a"/>
    <w:link w:val="10"/>
    <w:qFormat/>
    <w:rsid w:val="00C5716B"/>
    <w:pPr>
      <w:keepNext/>
      <w:numPr>
        <w:numId w:val="1"/>
      </w:numPr>
      <w:outlineLvl w:val="0"/>
    </w:pPr>
    <w:rPr>
      <w:b/>
      <w:i/>
    </w:rPr>
  </w:style>
  <w:style w:type="paragraph" w:styleId="2">
    <w:name w:val="heading 2"/>
    <w:basedOn w:val="a"/>
    <w:link w:val="20"/>
    <w:qFormat/>
    <w:rsid w:val="003F478E"/>
    <w:pPr>
      <w:keepNext/>
      <w:pBdr>
        <w:top w:val="single" w:sz="6" w:space="1" w:color="auto"/>
      </w:pBdr>
      <w:tabs>
        <w:tab w:val="num" w:pos="0"/>
      </w:tabs>
      <w:spacing w:after="240"/>
      <w:outlineLvl w:val="1"/>
    </w:pPr>
    <w:rPr>
      <w:sz w:val="20"/>
    </w:rPr>
  </w:style>
  <w:style w:type="paragraph" w:styleId="3">
    <w:name w:val="heading 3"/>
    <w:basedOn w:val="a"/>
    <w:next w:val="a0"/>
    <w:link w:val="30"/>
    <w:qFormat/>
    <w:rsid w:val="003F478E"/>
    <w:pPr>
      <w:keepNext/>
      <w:tabs>
        <w:tab w:val="num" w:pos="2160"/>
      </w:tabs>
      <w:spacing w:before="240" w:after="120" w:line="280" w:lineRule="exact"/>
      <w:jc w:val="left"/>
      <w:outlineLvl w:val="2"/>
    </w:pPr>
    <w:rPr>
      <w:rFonts w:ascii="Arial" w:hAnsi="Arial" w:cs="Arial"/>
      <w:b/>
      <w:bCs/>
      <w:sz w:val="24"/>
      <w:szCs w:val="24"/>
    </w:rPr>
  </w:style>
  <w:style w:type="paragraph" w:styleId="4">
    <w:name w:val="heading 4"/>
    <w:basedOn w:val="a"/>
    <w:next w:val="a0"/>
    <w:link w:val="40"/>
    <w:qFormat/>
    <w:rsid w:val="003F478E"/>
    <w:pPr>
      <w:keepNext/>
      <w:tabs>
        <w:tab w:val="num" w:pos="2880"/>
      </w:tabs>
      <w:spacing w:before="180" w:after="120" w:line="280" w:lineRule="exact"/>
      <w:jc w:val="left"/>
      <w:outlineLvl w:val="3"/>
    </w:pPr>
    <w:rPr>
      <w:rFonts w:ascii="Arial" w:hAnsi="Arial" w:cs="Arial"/>
      <w:b/>
      <w:bCs/>
      <w:sz w:val="20"/>
    </w:rPr>
  </w:style>
  <w:style w:type="paragraph" w:styleId="5">
    <w:name w:val="heading 5"/>
    <w:basedOn w:val="a"/>
    <w:next w:val="a0"/>
    <w:link w:val="50"/>
    <w:qFormat/>
    <w:rsid w:val="003F478E"/>
    <w:pPr>
      <w:tabs>
        <w:tab w:val="num" w:pos="3600"/>
      </w:tabs>
      <w:spacing w:before="240" w:after="60"/>
      <w:jc w:val="left"/>
      <w:outlineLvl w:val="4"/>
    </w:pPr>
    <w:rPr>
      <w:rFonts w:ascii="Arial" w:hAnsi="Arial" w:cs="Arial"/>
      <w:szCs w:val="22"/>
    </w:rPr>
  </w:style>
  <w:style w:type="paragraph" w:styleId="6">
    <w:name w:val="heading 6"/>
    <w:basedOn w:val="a"/>
    <w:next w:val="a0"/>
    <w:link w:val="60"/>
    <w:qFormat/>
    <w:rsid w:val="003F478E"/>
    <w:pPr>
      <w:tabs>
        <w:tab w:val="num" w:pos="4320"/>
      </w:tabs>
      <w:spacing w:before="240" w:after="60"/>
      <w:jc w:val="left"/>
      <w:outlineLvl w:val="5"/>
    </w:pPr>
    <w:rPr>
      <w:rFonts w:ascii="Arial" w:hAnsi="Arial" w:cs="Arial"/>
      <w:i/>
      <w:iCs/>
      <w:szCs w:val="22"/>
    </w:rPr>
  </w:style>
  <w:style w:type="paragraph" w:styleId="7">
    <w:name w:val="heading 7"/>
    <w:basedOn w:val="a"/>
    <w:next w:val="a0"/>
    <w:link w:val="70"/>
    <w:qFormat/>
    <w:rsid w:val="003F478E"/>
    <w:pPr>
      <w:tabs>
        <w:tab w:val="num" w:pos="5040"/>
      </w:tabs>
      <w:spacing w:before="240" w:after="60"/>
      <w:jc w:val="left"/>
      <w:outlineLvl w:val="6"/>
    </w:pPr>
    <w:rPr>
      <w:rFonts w:ascii="Arial" w:hAnsi="Arial" w:cs="Arial"/>
      <w:sz w:val="20"/>
    </w:rPr>
  </w:style>
  <w:style w:type="paragraph" w:styleId="8">
    <w:name w:val="heading 8"/>
    <w:basedOn w:val="a"/>
    <w:next w:val="a0"/>
    <w:link w:val="80"/>
    <w:qFormat/>
    <w:rsid w:val="003F478E"/>
    <w:pPr>
      <w:tabs>
        <w:tab w:val="num" w:pos="5760"/>
      </w:tabs>
      <w:spacing w:before="240" w:after="60"/>
      <w:jc w:val="left"/>
      <w:outlineLvl w:val="7"/>
    </w:pPr>
    <w:rPr>
      <w:rFonts w:ascii="Arial" w:hAnsi="Arial" w:cs="Arial"/>
      <w:i/>
      <w:iCs/>
      <w:sz w:val="20"/>
    </w:rPr>
  </w:style>
  <w:style w:type="paragraph" w:styleId="9">
    <w:name w:val="heading 9"/>
    <w:basedOn w:val="a"/>
    <w:next w:val="a"/>
    <w:qFormat/>
    <w:rsid w:val="00670594"/>
    <w:pPr>
      <w:spacing w:before="240" w:after="60"/>
      <w:outlineLvl w:val="8"/>
    </w:pPr>
    <w:rPr>
      <w:rFonts w:ascii="Arial" w:hAnsi="Arial"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511119"/>
    <w:pPr>
      <w:tabs>
        <w:tab w:val="center" w:pos="4677"/>
        <w:tab w:val="right" w:pos="9355"/>
      </w:tabs>
    </w:pPr>
  </w:style>
  <w:style w:type="paragraph" w:styleId="a5">
    <w:name w:val="footer"/>
    <w:basedOn w:val="a"/>
    <w:rsid w:val="00511119"/>
    <w:pPr>
      <w:tabs>
        <w:tab w:val="center" w:pos="4677"/>
        <w:tab w:val="right" w:pos="9355"/>
      </w:tabs>
    </w:pPr>
  </w:style>
  <w:style w:type="paragraph" w:customStyle="1" w:styleId="Address">
    <w:name w:val="Address"/>
    <w:rsid w:val="00DF02D1"/>
    <w:rPr>
      <w:rFonts w:ascii="Arial" w:hAnsi="Arial" w:cs="Arial"/>
      <w:color w:val="1F5394"/>
      <w:sz w:val="15"/>
      <w:szCs w:val="15"/>
      <w:lang w:val="ru-RU" w:eastAsia="ru-RU"/>
    </w:rPr>
  </w:style>
  <w:style w:type="paragraph" w:customStyle="1" w:styleId="Normal12">
    <w:name w:val="Normal+12"/>
    <w:basedOn w:val="a"/>
    <w:rsid w:val="00A76AD6"/>
    <w:pPr>
      <w:spacing w:before="240"/>
    </w:pPr>
  </w:style>
  <w:style w:type="paragraph" w:customStyle="1" w:styleId="PersonsName">
    <w:name w:val="Person's Name"/>
    <w:basedOn w:val="Normal12"/>
    <w:rsid w:val="00A76AD6"/>
    <w:pPr>
      <w:spacing w:before="1200"/>
    </w:pPr>
    <w:rPr>
      <w:b/>
    </w:rPr>
  </w:style>
  <w:style w:type="character" w:styleId="a6">
    <w:name w:val="page number"/>
    <w:basedOn w:val="a1"/>
    <w:rsid w:val="00264EB4"/>
  </w:style>
  <w:style w:type="paragraph" w:styleId="21">
    <w:name w:val="Body Text Indent 2"/>
    <w:basedOn w:val="a"/>
    <w:rsid w:val="00C5716B"/>
    <w:pPr>
      <w:spacing w:line="240" w:lineRule="atLeast"/>
      <w:ind w:left="567"/>
    </w:pPr>
    <w:rPr>
      <w:snapToGrid w:val="0"/>
      <w:color w:val="000000"/>
      <w:sz w:val="24"/>
    </w:rPr>
  </w:style>
  <w:style w:type="paragraph" w:styleId="31">
    <w:name w:val="Body Text Indent 3"/>
    <w:basedOn w:val="a"/>
    <w:rsid w:val="00C5716B"/>
    <w:pPr>
      <w:spacing w:line="240" w:lineRule="atLeast"/>
      <w:ind w:left="567"/>
    </w:pPr>
    <w:rPr>
      <w:snapToGrid w:val="0"/>
      <w:color w:val="000000"/>
    </w:rPr>
  </w:style>
  <w:style w:type="paragraph" w:styleId="32">
    <w:name w:val="Body Text 3"/>
    <w:basedOn w:val="a"/>
    <w:link w:val="33"/>
    <w:rsid w:val="00C5716B"/>
    <w:pPr>
      <w:spacing w:after="120"/>
    </w:pPr>
    <w:rPr>
      <w:sz w:val="16"/>
      <w:szCs w:val="16"/>
    </w:rPr>
  </w:style>
  <w:style w:type="paragraph" w:styleId="a7">
    <w:name w:val="Normal (Web)"/>
    <w:basedOn w:val="a"/>
    <w:rsid w:val="00C5716B"/>
    <w:pPr>
      <w:spacing w:before="100" w:beforeAutospacing="1" w:after="100" w:afterAutospacing="1"/>
    </w:pPr>
    <w:rPr>
      <w:sz w:val="24"/>
    </w:rPr>
  </w:style>
  <w:style w:type="paragraph" w:styleId="a8">
    <w:name w:val="Body Text Indent"/>
    <w:basedOn w:val="a"/>
    <w:rsid w:val="00C5716B"/>
    <w:pPr>
      <w:spacing w:after="120"/>
      <w:ind w:left="283"/>
    </w:pPr>
  </w:style>
  <w:style w:type="paragraph" w:styleId="a9">
    <w:name w:val="footnote text"/>
    <w:basedOn w:val="a"/>
    <w:link w:val="aa"/>
    <w:rsid w:val="00FC2F1D"/>
    <w:pPr>
      <w:jc w:val="left"/>
    </w:pPr>
    <w:rPr>
      <w:sz w:val="20"/>
    </w:rPr>
  </w:style>
  <w:style w:type="character" w:styleId="ab">
    <w:name w:val="footnote reference"/>
    <w:rsid w:val="00FC2F1D"/>
    <w:rPr>
      <w:vertAlign w:val="superscript"/>
    </w:rPr>
  </w:style>
  <w:style w:type="paragraph" w:styleId="ac">
    <w:name w:val="Balloon Text"/>
    <w:basedOn w:val="a"/>
    <w:semiHidden/>
    <w:rsid w:val="00571DCB"/>
    <w:rPr>
      <w:rFonts w:ascii="Tahoma" w:hAnsi="Tahoma" w:cs="Tahoma"/>
      <w:sz w:val="16"/>
      <w:szCs w:val="16"/>
    </w:rPr>
  </w:style>
  <w:style w:type="character" w:styleId="ad">
    <w:name w:val="annotation reference"/>
    <w:semiHidden/>
    <w:rsid w:val="003572A4"/>
    <w:rPr>
      <w:sz w:val="16"/>
      <w:szCs w:val="16"/>
    </w:rPr>
  </w:style>
  <w:style w:type="paragraph" w:styleId="ae">
    <w:name w:val="annotation text"/>
    <w:basedOn w:val="a"/>
    <w:link w:val="af"/>
    <w:uiPriority w:val="99"/>
    <w:semiHidden/>
    <w:rsid w:val="003572A4"/>
    <w:rPr>
      <w:sz w:val="20"/>
    </w:rPr>
  </w:style>
  <w:style w:type="paragraph" w:styleId="af0">
    <w:name w:val="annotation subject"/>
    <w:basedOn w:val="ae"/>
    <w:next w:val="ae"/>
    <w:link w:val="af1"/>
    <w:rsid w:val="003572A4"/>
    <w:rPr>
      <w:b/>
      <w:bCs/>
    </w:rPr>
  </w:style>
  <w:style w:type="paragraph" w:styleId="22">
    <w:name w:val="Body Text 2"/>
    <w:basedOn w:val="a"/>
    <w:rsid w:val="00F301B7"/>
    <w:pPr>
      <w:spacing w:after="120" w:line="480" w:lineRule="auto"/>
    </w:pPr>
  </w:style>
  <w:style w:type="table" w:styleId="af2">
    <w:name w:val="Table Grid"/>
    <w:basedOn w:val="a2"/>
    <w:uiPriority w:val="59"/>
    <w:rsid w:val="00295D5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lock Text"/>
    <w:basedOn w:val="a"/>
    <w:rsid w:val="000253D3"/>
    <w:pPr>
      <w:ind w:left="851" w:right="851"/>
    </w:pPr>
    <w:rPr>
      <w:b/>
      <w:bCs/>
      <w:szCs w:val="22"/>
    </w:rPr>
  </w:style>
  <w:style w:type="paragraph" w:customStyle="1" w:styleId="11">
    <w:name w:val="Обычный1"/>
    <w:rsid w:val="00810AD2"/>
    <w:pPr>
      <w:autoSpaceDE w:val="0"/>
      <w:autoSpaceDN w:val="0"/>
    </w:pPr>
    <w:rPr>
      <w:lang w:val="en-GB"/>
    </w:rPr>
  </w:style>
  <w:style w:type="numbering" w:customStyle="1" w:styleId="SpecialRight02">
    <w:name w:val="Special_Right_02"/>
    <w:rsid w:val="002E3DD5"/>
    <w:pPr>
      <w:numPr>
        <w:numId w:val="3"/>
      </w:numPr>
    </w:pPr>
  </w:style>
  <w:style w:type="paragraph" w:styleId="a0">
    <w:name w:val="Body Text"/>
    <w:basedOn w:val="a"/>
    <w:link w:val="af4"/>
    <w:rsid w:val="00F71C40"/>
    <w:pPr>
      <w:spacing w:line="240" w:lineRule="atLeast"/>
    </w:pPr>
    <w:rPr>
      <w:b/>
      <w:sz w:val="20"/>
      <w:lang w:val="ru-RU"/>
    </w:rPr>
  </w:style>
  <w:style w:type="character" w:customStyle="1" w:styleId="af4">
    <w:name w:val="Основной текст Знак"/>
    <w:link w:val="a0"/>
    <w:rsid w:val="00F71C40"/>
    <w:rPr>
      <w:b/>
      <w:lang w:val="ru-RU"/>
    </w:rPr>
  </w:style>
  <w:style w:type="paragraph" w:customStyle="1" w:styleId="af5">
    <w:name w:val="a"/>
    <w:basedOn w:val="a"/>
    <w:rsid w:val="00C264CA"/>
    <w:pPr>
      <w:autoSpaceDE w:val="0"/>
      <w:autoSpaceDN w:val="0"/>
      <w:jc w:val="left"/>
    </w:pPr>
    <w:rPr>
      <w:sz w:val="20"/>
    </w:rPr>
  </w:style>
  <w:style w:type="paragraph" w:styleId="af6">
    <w:name w:val="Revision"/>
    <w:hidden/>
    <w:uiPriority w:val="99"/>
    <w:semiHidden/>
    <w:rsid w:val="00D2000A"/>
    <w:rPr>
      <w:sz w:val="22"/>
    </w:rPr>
  </w:style>
  <w:style w:type="character" w:customStyle="1" w:styleId="tw4winTerm">
    <w:name w:val="tw4winTerm"/>
    <w:rsid w:val="00C5745D"/>
    <w:rPr>
      <w:color w:val="0000FF"/>
    </w:rPr>
  </w:style>
  <w:style w:type="numbering" w:customStyle="1" w:styleId="SpecialLeft02">
    <w:name w:val="Special_Left_02"/>
    <w:rsid w:val="004A28F5"/>
    <w:pPr>
      <w:numPr>
        <w:numId w:val="4"/>
      </w:numPr>
    </w:pPr>
  </w:style>
  <w:style w:type="paragraph" w:customStyle="1" w:styleId="23">
    <w:name w:val="Обычный2"/>
    <w:rsid w:val="00AA2AAE"/>
    <w:pPr>
      <w:autoSpaceDE w:val="0"/>
      <w:autoSpaceDN w:val="0"/>
    </w:pPr>
    <w:rPr>
      <w:lang w:val="en-GB"/>
    </w:rPr>
  </w:style>
  <w:style w:type="paragraph" w:customStyle="1" w:styleId="Bullet1">
    <w:name w:val="Bullet 1"/>
    <w:basedOn w:val="a"/>
    <w:rsid w:val="009E723A"/>
    <w:pPr>
      <w:numPr>
        <w:numId w:val="6"/>
      </w:numPr>
      <w:jc w:val="left"/>
    </w:pPr>
    <w:rPr>
      <w:sz w:val="20"/>
      <w:lang w:val="en-AU"/>
    </w:rPr>
  </w:style>
  <w:style w:type="paragraph" w:styleId="af7">
    <w:name w:val="List Paragraph"/>
    <w:basedOn w:val="a"/>
    <w:link w:val="af8"/>
    <w:uiPriority w:val="34"/>
    <w:qFormat/>
    <w:rsid w:val="009E723A"/>
    <w:pPr>
      <w:spacing w:after="120"/>
      <w:ind w:left="567"/>
      <w:contextualSpacing/>
      <w:jc w:val="left"/>
    </w:pPr>
    <w:rPr>
      <w:rFonts w:ascii="Arial" w:eastAsia="Arial" w:hAnsi="Arial"/>
      <w:szCs w:val="22"/>
    </w:rPr>
  </w:style>
  <w:style w:type="character" w:styleId="af9">
    <w:name w:val="Placeholder Text"/>
    <w:uiPriority w:val="99"/>
    <w:semiHidden/>
    <w:rsid w:val="00DB1C1E"/>
    <w:rPr>
      <w:color w:val="808080"/>
    </w:rPr>
  </w:style>
  <w:style w:type="character" w:customStyle="1" w:styleId="20">
    <w:name w:val="Заголовок 2 Знак"/>
    <w:basedOn w:val="a1"/>
    <w:link w:val="2"/>
    <w:rsid w:val="003F478E"/>
  </w:style>
  <w:style w:type="character" w:customStyle="1" w:styleId="30">
    <w:name w:val="Заголовок 3 Знак"/>
    <w:basedOn w:val="a1"/>
    <w:link w:val="3"/>
    <w:rsid w:val="003F478E"/>
    <w:rPr>
      <w:rFonts w:ascii="Arial" w:hAnsi="Arial" w:cs="Arial"/>
      <w:b/>
      <w:bCs/>
      <w:sz w:val="24"/>
      <w:szCs w:val="24"/>
    </w:rPr>
  </w:style>
  <w:style w:type="character" w:customStyle="1" w:styleId="40">
    <w:name w:val="Заголовок 4 Знак"/>
    <w:basedOn w:val="a1"/>
    <w:link w:val="4"/>
    <w:rsid w:val="003F478E"/>
    <w:rPr>
      <w:rFonts w:ascii="Arial" w:hAnsi="Arial" w:cs="Arial"/>
      <w:b/>
      <w:bCs/>
    </w:rPr>
  </w:style>
  <w:style w:type="character" w:customStyle="1" w:styleId="50">
    <w:name w:val="Заголовок 5 Знак"/>
    <w:basedOn w:val="a1"/>
    <w:link w:val="5"/>
    <w:rsid w:val="003F478E"/>
    <w:rPr>
      <w:rFonts w:ascii="Arial" w:hAnsi="Arial" w:cs="Arial"/>
      <w:sz w:val="22"/>
      <w:szCs w:val="22"/>
    </w:rPr>
  </w:style>
  <w:style w:type="character" w:customStyle="1" w:styleId="60">
    <w:name w:val="Заголовок 6 Знак"/>
    <w:basedOn w:val="a1"/>
    <w:link w:val="6"/>
    <w:rsid w:val="003F478E"/>
    <w:rPr>
      <w:rFonts w:ascii="Arial" w:hAnsi="Arial" w:cs="Arial"/>
      <w:i/>
      <w:iCs/>
      <w:sz w:val="22"/>
      <w:szCs w:val="22"/>
    </w:rPr>
  </w:style>
  <w:style w:type="character" w:customStyle="1" w:styleId="70">
    <w:name w:val="Заголовок 7 Знак"/>
    <w:basedOn w:val="a1"/>
    <w:link w:val="7"/>
    <w:rsid w:val="003F478E"/>
    <w:rPr>
      <w:rFonts w:ascii="Arial" w:hAnsi="Arial" w:cs="Arial"/>
    </w:rPr>
  </w:style>
  <w:style w:type="character" w:customStyle="1" w:styleId="80">
    <w:name w:val="Заголовок 8 Знак"/>
    <w:basedOn w:val="a1"/>
    <w:link w:val="8"/>
    <w:rsid w:val="003F478E"/>
    <w:rPr>
      <w:rFonts w:ascii="Arial" w:hAnsi="Arial" w:cs="Arial"/>
      <w:i/>
      <w:iCs/>
    </w:rPr>
  </w:style>
  <w:style w:type="paragraph" w:styleId="afa">
    <w:name w:val="envelope address"/>
    <w:basedOn w:val="a"/>
    <w:rsid w:val="003F478E"/>
    <w:pPr>
      <w:framePr w:w="7920" w:h="1980" w:hRule="exact" w:hSpace="180" w:wrap="auto" w:hAnchor="page" w:xAlign="center" w:yAlign="bottom"/>
      <w:ind w:left="2880"/>
      <w:jc w:val="left"/>
    </w:pPr>
    <w:rPr>
      <w:sz w:val="24"/>
      <w:szCs w:val="24"/>
    </w:rPr>
  </w:style>
  <w:style w:type="paragraph" w:customStyle="1" w:styleId="fDTLogo">
    <w:name w:val="f_D&amp;T_Logo"/>
    <w:basedOn w:val="a"/>
    <w:rsid w:val="003F478E"/>
    <w:pPr>
      <w:framePr w:wrap="notBeside" w:vAnchor="page" w:hAnchor="page" w:x="1191" w:y="908"/>
      <w:jc w:val="left"/>
    </w:pPr>
    <w:rPr>
      <w:rFonts w:ascii="CG Times (WN)" w:hAnsi="CG Times (WN)" w:cs="CG Times (WN)"/>
      <w:sz w:val="24"/>
      <w:szCs w:val="24"/>
    </w:rPr>
  </w:style>
  <w:style w:type="paragraph" w:customStyle="1" w:styleId="fDTTLogo">
    <w:name w:val="f_DTT_Logo"/>
    <w:basedOn w:val="a"/>
    <w:rsid w:val="003F478E"/>
    <w:pPr>
      <w:framePr w:wrap="notBeside" w:vAnchor="page" w:hAnchor="page" w:x="1701" w:y="14346"/>
      <w:jc w:val="left"/>
    </w:pPr>
    <w:rPr>
      <w:rFonts w:ascii="CG Times (WN)" w:hAnsi="CG Times (WN)" w:cs="CG Times (WN)"/>
      <w:sz w:val="24"/>
      <w:szCs w:val="24"/>
    </w:rPr>
  </w:style>
  <w:style w:type="paragraph" w:styleId="afb">
    <w:name w:val="List"/>
    <w:basedOn w:val="a"/>
    <w:rsid w:val="003F478E"/>
    <w:pPr>
      <w:tabs>
        <w:tab w:val="left" w:pos="360"/>
        <w:tab w:val="left" w:pos="720"/>
        <w:tab w:val="left" w:pos="1080"/>
        <w:tab w:val="left" w:pos="1440"/>
        <w:tab w:val="left" w:pos="1800"/>
      </w:tabs>
      <w:spacing w:after="240"/>
      <w:ind w:left="360" w:hanging="360"/>
      <w:jc w:val="left"/>
    </w:pPr>
    <w:rPr>
      <w:sz w:val="24"/>
      <w:szCs w:val="24"/>
    </w:rPr>
  </w:style>
  <w:style w:type="paragraph" w:styleId="24">
    <w:name w:val="List 2"/>
    <w:basedOn w:val="a"/>
    <w:rsid w:val="003F478E"/>
    <w:pPr>
      <w:tabs>
        <w:tab w:val="left" w:pos="360"/>
        <w:tab w:val="left" w:pos="720"/>
        <w:tab w:val="left" w:pos="1080"/>
        <w:tab w:val="left" w:pos="1440"/>
        <w:tab w:val="left" w:pos="1800"/>
      </w:tabs>
      <w:spacing w:after="240"/>
      <w:ind w:left="720" w:hanging="360"/>
      <w:jc w:val="left"/>
    </w:pPr>
    <w:rPr>
      <w:sz w:val="24"/>
      <w:szCs w:val="24"/>
    </w:rPr>
  </w:style>
  <w:style w:type="paragraph" w:styleId="34">
    <w:name w:val="List 3"/>
    <w:basedOn w:val="a"/>
    <w:rsid w:val="003F478E"/>
    <w:pPr>
      <w:tabs>
        <w:tab w:val="left" w:pos="360"/>
        <w:tab w:val="left" w:pos="720"/>
        <w:tab w:val="left" w:pos="1080"/>
        <w:tab w:val="left" w:pos="1440"/>
        <w:tab w:val="left" w:pos="1800"/>
      </w:tabs>
      <w:spacing w:after="240"/>
      <w:ind w:left="1080" w:hanging="360"/>
      <w:jc w:val="left"/>
    </w:pPr>
    <w:rPr>
      <w:sz w:val="24"/>
      <w:szCs w:val="24"/>
    </w:rPr>
  </w:style>
  <w:style w:type="paragraph" w:styleId="41">
    <w:name w:val="List 4"/>
    <w:basedOn w:val="a"/>
    <w:rsid w:val="003F478E"/>
    <w:pPr>
      <w:tabs>
        <w:tab w:val="left" w:pos="360"/>
        <w:tab w:val="left" w:pos="720"/>
        <w:tab w:val="left" w:pos="1080"/>
        <w:tab w:val="left" w:pos="1440"/>
        <w:tab w:val="left" w:pos="1800"/>
      </w:tabs>
      <w:spacing w:after="240"/>
      <w:ind w:left="1440" w:hanging="360"/>
      <w:jc w:val="left"/>
    </w:pPr>
    <w:rPr>
      <w:sz w:val="24"/>
      <w:szCs w:val="24"/>
    </w:rPr>
  </w:style>
  <w:style w:type="paragraph" w:styleId="51">
    <w:name w:val="List 5"/>
    <w:basedOn w:val="a"/>
    <w:rsid w:val="003F478E"/>
    <w:pPr>
      <w:tabs>
        <w:tab w:val="left" w:pos="360"/>
        <w:tab w:val="left" w:pos="720"/>
        <w:tab w:val="left" w:pos="1080"/>
        <w:tab w:val="left" w:pos="1440"/>
        <w:tab w:val="left" w:pos="1800"/>
      </w:tabs>
      <w:spacing w:after="240"/>
      <w:ind w:left="1800" w:hanging="360"/>
      <w:jc w:val="left"/>
    </w:pPr>
    <w:rPr>
      <w:sz w:val="24"/>
      <w:szCs w:val="24"/>
    </w:rPr>
  </w:style>
  <w:style w:type="paragraph" w:styleId="afc">
    <w:name w:val="List Bullet"/>
    <w:basedOn w:val="a"/>
    <w:autoRedefine/>
    <w:rsid w:val="003F478E"/>
    <w:pPr>
      <w:tabs>
        <w:tab w:val="left" w:pos="360"/>
        <w:tab w:val="left" w:pos="720"/>
        <w:tab w:val="left" w:pos="1080"/>
        <w:tab w:val="left" w:pos="1440"/>
        <w:tab w:val="left" w:pos="1800"/>
      </w:tabs>
      <w:spacing w:after="240"/>
      <w:ind w:left="360" w:hanging="360"/>
      <w:jc w:val="left"/>
    </w:pPr>
    <w:rPr>
      <w:sz w:val="24"/>
      <w:szCs w:val="24"/>
    </w:rPr>
  </w:style>
  <w:style w:type="paragraph" w:styleId="25">
    <w:name w:val="List Bullet 2"/>
    <w:basedOn w:val="a"/>
    <w:autoRedefine/>
    <w:rsid w:val="003F478E"/>
    <w:pPr>
      <w:tabs>
        <w:tab w:val="left" w:pos="360"/>
        <w:tab w:val="left" w:pos="720"/>
        <w:tab w:val="left" w:pos="1080"/>
        <w:tab w:val="left" w:pos="1440"/>
        <w:tab w:val="left" w:pos="1800"/>
      </w:tabs>
      <w:spacing w:after="240"/>
      <w:ind w:left="720" w:hanging="360"/>
      <w:jc w:val="left"/>
    </w:pPr>
    <w:rPr>
      <w:sz w:val="24"/>
      <w:szCs w:val="24"/>
    </w:rPr>
  </w:style>
  <w:style w:type="paragraph" w:styleId="35">
    <w:name w:val="List Bullet 3"/>
    <w:basedOn w:val="a"/>
    <w:autoRedefine/>
    <w:rsid w:val="003F478E"/>
    <w:pPr>
      <w:tabs>
        <w:tab w:val="left" w:pos="360"/>
        <w:tab w:val="left" w:pos="720"/>
        <w:tab w:val="left" w:pos="1080"/>
        <w:tab w:val="left" w:pos="1440"/>
        <w:tab w:val="left" w:pos="1800"/>
      </w:tabs>
      <w:spacing w:after="240"/>
      <w:ind w:left="1080" w:hanging="360"/>
      <w:jc w:val="left"/>
    </w:pPr>
    <w:rPr>
      <w:sz w:val="24"/>
      <w:szCs w:val="24"/>
    </w:rPr>
  </w:style>
  <w:style w:type="paragraph" w:styleId="42">
    <w:name w:val="List Bullet 4"/>
    <w:basedOn w:val="a"/>
    <w:autoRedefine/>
    <w:rsid w:val="003F478E"/>
    <w:pPr>
      <w:tabs>
        <w:tab w:val="left" w:pos="360"/>
        <w:tab w:val="left" w:pos="720"/>
        <w:tab w:val="left" w:pos="1080"/>
        <w:tab w:val="left" w:pos="1440"/>
        <w:tab w:val="left" w:pos="1800"/>
      </w:tabs>
      <w:spacing w:after="240"/>
      <w:ind w:left="1440" w:hanging="360"/>
      <w:jc w:val="left"/>
    </w:pPr>
    <w:rPr>
      <w:sz w:val="24"/>
      <w:szCs w:val="24"/>
    </w:rPr>
  </w:style>
  <w:style w:type="paragraph" w:styleId="52">
    <w:name w:val="List Bullet 5"/>
    <w:basedOn w:val="a"/>
    <w:autoRedefine/>
    <w:rsid w:val="003F478E"/>
    <w:pPr>
      <w:tabs>
        <w:tab w:val="left" w:pos="360"/>
        <w:tab w:val="left" w:pos="720"/>
        <w:tab w:val="left" w:pos="1080"/>
        <w:tab w:val="left" w:pos="1440"/>
        <w:tab w:val="left" w:pos="1800"/>
      </w:tabs>
      <w:spacing w:after="240"/>
      <w:ind w:left="1800" w:hanging="360"/>
      <w:jc w:val="left"/>
    </w:pPr>
    <w:rPr>
      <w:sz w:val="24"/>
      <w:szCs w:val="24"/>
    </w:rPr>
  </w:style>
  <w:style w:type="paragraph" w:styleId="afd">
    <w:name w:val="List Continue"/>
    <w:basedOn w:val="a8"/>
    <w:rsid w:val="003F478E"/>
    <w:pPr>
      <w:spacing w:after="240"/>
      <w:ind w:left="360"/>
      <w:jc w:val="left"/>
    </w:pPr>
    <w:rPr>
      <w:sz w:val="24"/>
      <w:szCs w:val="24"/>
    </w:rPr>
  </w:style>
  <w:style w:type="paragraph" w:styleId="afe">
    <w:name w:val="Normal Indent"/>
    <w:basedOn w:val="a"/>
    <w:rsid w:val="003F478E"/>
    <w:pPr>
      <w:ind w:left="360"/>
      <w:jc w:val="left"/>
    </w:pPr>
    <w:rPr>
      <w:sz w:val="24"/>
      <w:szCs w:val="24"/>
    </w:rPr>
  </w:style>
  <w:style w:type="paragraph" w:styleId="26">
    <w:name w:val="List Continue 2"/>
    <w:basedOn w:val="a8"/>
    <w:rsid w:val="003F478E"/>
    <w:pPr>
      <w:spacing w:after="240"/>
      <w:ind w:left="720"/>
      <w:jc w:val="left"/>
    </w:pPr>
    <w:rPr>
      <w:sz w:val="24"/>
      <w:szCs w:val="24"/>
    </w:rPr>
  </w:style>
  <w:style w:type="paragraph" w:styleId="36">
    <w:name w:val="List Continue 3"/>
    <w:basedOn w:val="a8"/>
    <w:rsid w:val="003F478E"/>
    <w:pPr>
      <w:spacing w:after="240"/>
      <w:ind w:left="1080"/>
      <w:jc w:val="left"/>
    </w:pPr>
    <w:rPr>
      <w:sz w:val="24"/>
      <w:szCs w:val="24"/>
    </w:rPr>
  </w:style>
  <w:style w:type="paragraph" w:styleId="43">
    <w:name w:val="List Continue 4"/>
    <w:basedOn w:val="a8"/>
    <w:rsid w:val="003F478E"/>
    <w:pPr>
      <w:spacing w:after="240"/>
      <w:ind w:left="1440"/>
      <w:jc w:val="left"/>
    </w:pPr>
    <w:rPr>
      <w:sz w:val="24"/>
      <w:szCs w:val="24"/>
    </w:rPr>
  </w:style>
  <w:style w:type="paragraph" w:styleId="53">
    <w:name w:val="List Continue 5"/>
    <w:basedOn w:val="a8"/>
    <w:rsid w:val="003F478E"/>
    <w:pPr>
      <w:spacing w:after="240"/>
      <w:ind w:left="1800"/>
      <w:jc w:val="left"/>
    </w:pPr>
    <w:rPr>
      <w:sz w:val="24"/>
      <w:szCs w:val="24"/>
    </w:rPr>
  </w:style>
  <w:style w:type="paragraph" w:styleId="aff">
    <w:name w:val="List Number"/>
    <w:basedOn w:val="a"/>
    <w:rsid w:val="003F478E"/>
    <w:pPr>
      <w:tabs>
        <w:tab w:val="left" w:pos="360"/>
        <w:tab w:val="left" w:pos="720"/>
        <w:tab w:val="left" w:pos="1080"/>
        <w:tab w:val="left" w:pos="1440"/>
        <w:tab w:val="left" w:pos="1800"/>
      </w:tabs>
      <w:spacing w:after="240"/>
      <w:ind w:left="360" w:hanging="360"/>
      <w:jc w:val="left"/>
    </w:pPr>
    <w:rPr>
      <w:sz w:val="24"/>
      <w:szCs w:val="24"/>
    </w:rPr>
  </w:style>
  <w:style w:type="paragraph" w:styleId="27">
    <w:name w:val="List Number 2"/>
    <w:basedOn w:val="a"/>
    <w:rsid w:val="003F478E"/>
    <w:pPr>
      <w:tabs>
        <w:tab w:val="left" w:pos="360"/>
        <w:tab w:val="left" w:pos="720"/>
        <w:tab w:val="left" w:pos="1080"/>
        <w:tab w:val="left" w:pos="1440"/>
        <w:tab w:val="left" w:pos="1800"/>
      </w:tabs>
      <w:spacing w:after="240"/>
      <w:ind w:left="720" w:hanging="360"/>
      <w:jc w:val="left"/>
    </w:pPr>
    <w:rPr>
      <w:sz w:val="24"/>
      <w:szCs w:val="24"/>
    </w:rPr>
  </w:style>
  <w:style w:type="paragraph" w:styleId="37">
    <w:name w:val="List Number 3"/>
    <w:basedOn w:val="a"/>
    <w:rsid w:val="003F478E"/>
    <w:pPr>
      <w:tabs>
        <w:tab w:val="left" w:pos="360"/>
        <w:tab w:val="left" w:pos="720"/>
        <w:tab w:val="left" w:pos="1080"/>
        <w:tab w:val="left" w:pos="1440"/>
        <w:tab w:val="left" w:pos="1800"/>
      </w:tabs>
      <w:spacing w:after="240"/>
      <w:ind w:left="1080" w:hanging="360"/>
      <w:jc w:val="left"/>
    </w:pPr>
    <w:rPr>
      <w:sz w:val="24"/>
      <w:szCs w:val="24"/>
    </w:rPr>
  </w:style>
  <w:style w:type="paragraph" w:styleId="44">
    <w:name w:val="List Number 4"/>
    <w:basedOn w:val="a"/>
    <w:rsid w:val="003F478E"/>
    <w:pPr>
      <w:tabs>
        <w:tab w:val="left" w:pos="360"/>
        <w:tab w:val="left" w:pos="720"/>
        <w:tab w:val="left" w:pos="1080"/>
        <w:tab w:val="left" w:pos="1440"/>
        <w:tab w:val="left" w:pos="1800"/>
      </w:tabs>
      <w:spacing w:after="240"/>
      <w:ind w:left="1440" w:hanging="360"/>
      <w:jc w:val="left"/>
    </w:pPr>
    <w:rPr>
      <w:sz w:val="24"/>
      <w:szCs w:val="24"/>
    </w:rPr>
  </w:style>
  <w:style w:type="paragraph" w:styleId="54">
    <w:name w:val="List Number 5"/>
    <w:basedOn w:val="a"/>
    <w:rsid w:val="003F478E"/>
    <w:pPr>
      <w:tabs>
        <w:tab w:val="left" w:pos="360"/>
        <w:tab w:val="left" w:pos="720"/>
        <w:tab w:val="left" w:pos="1080"/>
        <w:tab w:val="left" w:pos="1440"/>
        <w:tab w:val="left" w:pos="1800"/>
      </w:tabs>
      <w:spacing w:after="240"/>
      <w:ind w:left="1800" w:hanging="360"/>
      <w:jc w:val="left"/>
    </w:pPr>
    <w:rPr>
      <w:sz w:val="24"/>
      <w:szCs w:val="24"/>
    </w:rPr>
  </w:style>
  <w:style w:type="paragraph" w:styleId="aff0">
    <w:name w:val="macro"/>
    <w:link w:val="aff1"/>
    <w:rsid w:val="003F47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1">
    <w:name w:val="Текст макроса Знак"/>
    <w:basedOn w:val="a1"/>
    <w:link w:val="aff0"/>
    <w:rsid w:val="003F478E"/>
    <w:rPr>
      <w:rFonts w:ascii="Courier New" w:hAnsi="Courier New" w:cs="Courier New"/>
    </w:rPr>
  </w:style>
  <w:style w:type="paragraph" w:styleId="aff2">
    <w:name w:val="Signature"/>
    <w:basedOn w:val="a0"/>
    <w:next w:val="a0"/>
    <w:link w:val="aff3"/>
    <w:rsid w:val="003F478E"/>
    <w:pPr>
      <w:spacing w:after="240" w:line="240" w:lineRule="auto"/>
      <w:jc w:val="left"/>
    </w:pPr>
    <w:rPr>
      <w:b w:val="0"/>
      <w:sz w:val="24"/>
      <w:szCs w:val="24"/>
      <w:lang w:val="en-US"/>
    </w:rPr>
  </w:style>
  <w:style w:type="character" w:customStyle="1" w:styleId="aff3">
    <w:name w:val="Подпись Знак"/>
    <w:basedOn w:val="a1"/>
    <w:link w:val="aff2"/>
    <w:rsid w:val="003F478E"/>
    <w:rPr>
      <w:sz w:val="24"/>
      <w:szCs w:val="24"/>
    </w:rPr>
  </w:style>
  <w:style w:type="paragraph" w:styleId="aff4">
    <w:name w:val="table of authorities"/>
    <w:basedOn w:val="a0"/>
    <w:next w:val="a"/>
    <w:rsid w:val="003F478E"/>
    <w:pPr>
      <w:tabs>
        <w:tab w:val="right" w:pos="9360"/>
      </w:tabs>
      <w:spacing w:after="240" w:line="240" w:lineRule="auto"/>
      <w:ind w:left="475" w:hanging="475"/>
      <w:jc w:val="left"/>
    </w:pPr>
    <w:rPr>
      <w:b w:val="0"/>
      <w:sz w:val="24"/>
      <w:szCs w:val="24"/>
      <w:lang w:val="en-US"/>
    </w:rPr>
  </w:style>
  <w:style w:type="paragraph" w:styleId="aff5">
    <w:name w:val="table of figures"/>
    <w:basedOn w:val="a0"/>
    <w:next w:val="a"/>
    <w:rsid w:val="003F478E"/>
    <w:pPr>
      <w:tabs>
        <w:tab w:val="right" w:pos="9360"/>
      </w:tabs>
      <w:spacing w:after="240" w:line="240" w:lineRule="auto"/>
      <w:ind w:left="475" w:hanging="475"/>
      <w:jc w:val="left"/>
    </w:pPr>
    <w:rPr>
      <w:b w:val="0"/>
      <w:sz w:val="24"/>
      <w:szCs w:val="24"/>
      <w:lang w:val="en-US"/>
    </w:rPr>
  </w:style>
  <w:style w:type="paragraph" w:styleId="aff6">
    <w:name w:val="toa heading"/>
    <w:basedOn w:val="a"/>
    <w:next w:val="a"/>
    <w:rsid w:val="003F478E"/>
    <w:pPr>
      <w:keepNext/>
      <w:spacing w:after="360"/>
      <w:jc w:val="left"/>
    </w:pPr>
    <w:rPr>
      <w:b/>
      <w:bCs/>
      <w:i/>
      <w:iCs/>
      <w:kern w:val="28"/>
      <w:sz w:val="72"/>
      <w:szCs w:val="72"/>
    </w:rPr>
  </w:style>
  <w:style w:type="paragraph" w:styleId="12">
    <w:name w:val="toc 1"/>
    <w:basedOn w:val="a"/>
    <w:next w:val="a0"/>
    <w:autoRedefine/>
    <w:rsid w:val="003F478E"/>
    <w:pPr>
      <w:tabs>
        <w:tab w:val="right" w:pos="9360"/>
      </w:tabs>
      <w:spacing w:before="180"/>
      <w:jc w:val="left"/>
    </w:pPr>
    <w:rPr>
      <w:sz w:val="24"/>
      <w:szCs w:val="24"/>
    </w:rPr>
  </w:style>
  <w:style w:type="paragraph" w:styleId="28">
    <w:name w:val="toc 2"/>
    <w:basedOn w:val="12"/>
    <w:next w:val="a0"/>
    <w:autoRedefine/>
    <w:rsid w:val="003F478E"/>
    <w:pPr>
      <w:spacing w:before="0"/>
      <w:ind w:left="245"/>
    </w:pPr>
  </w:style>
  <w:style w:type="paragraph" w:styleId="38">
    <w:name w:val="toc 3"/>
    <w:basedOn w:val="12"/>
    <w:next w:val="a0"/>
    <w:autoRedefine/>
    <w:rsid w:val="003F478E"/>
    <w:pPr>
      <w:spacing w:before="0"/>
      <w:ind w:left="475"/>
    </w:pPr>
  </w:style>
  <w:style w:type="paragraph" w:styleId="45">
    <w:name w:val="toc 4"/>
    <w:basedOn w:val="12"/>
    <w:next w:val="a0"/>
    <w:autoRedefine/>
    <w:rsid w:val="003F478E"/>
    <w:pPr>
      <w:spacing w:before="0"/>
      <w:ind w:left="720"/>
    </w:pPr>
  </w:style>
  <w:style w:type="paragraph" w:styleId="55">
    <w:name w:val="toc 5"/>
    <w:basedOn w:val="12"/>
    <w:next w:val="a0"/>
    <w:autoRedefine/>
    <w:rsid w:val="003F478E"/>
    <w:pPr>
      <w:spacing w:before="0"/>
      <w:ind w:left="965"/>
    </w:pPr>
  </w:style>
  <w:style w:type="paragraph" w:styleId="61">
    <w:name w:val="toc 6"/>
    <w:basedOn w:val="12"/>
    <w:next w:val="a0"/>
    <w:autoRedefine/>
    <w:rsid w:val="003F478E"/>
    <w:pPr>
      <w:spacing w:before="0"/>
      <w:ind w:left="1195"/>
    </w:pPr>
  </w:style>
  <w:style w:type="paragraph" w:styleId="71">
    <w:name w:val="toc 7"/>
    <w:basedOn w:val="12"/>
    <w:next w:val="a0"/>
    <w:autoRedefine/>
    <w:rsid w:val="003F478E"/>
    <w:pPr>
      <w:spacing w:before="0"/>
      <w:ind w:left="1440"/>
    </w:pPr>
  </w:style>
  <w:style w:type="paragraph" w:styleId="81">
    <w:name w:val="toc 8"/>
    <w:basedOn w:val="12"/>
    <w:next w:val="a0"/>
    <w:autoRedefine/>
    <w:rsid w:val="003F478E"/>
    <w:pPr>
      <w:spacing w:before="0"/>
      <w:ind w:left="1685"/>
    </w:pPr>
  </w:style>
  <w:style w:type="paragraph" w:styleId="90">
    <w:name w:val="toc 9"/>
    <w:basedOn w:val="12"/>
    <w:next w:val="a0"/>
    <w:autoRedefine/>
    <w:rsid w:val="003F478E"/>
    <w:pPr>
      <w:spacing w:before="0"/>
      <w:ind w:left="1915"/>
    </w:pPr>
  </w:style>
  <w:style w:type="paragraph" w:styleId="13">
    <w:name w:val="index 1"/>
    <w:basedOn w:val="a0"/>
    <w:next w:val="a0"/>
    <w:autoRedefine/>
    <w:rsid w:val="003F478E"/>
    <w:pPr>
      <w:tabs>
        <w:tab w:val="right" w:pos="9360"/>
      </w:tabs>
      <w:spacing w:after="240" w:line="240" w:lineRule="auto"/>
      <w:ind w:left="202" w:hanging="202"/>
      <w:jc w:val="left"/>
    </w:pPr>
    <w:rPr>
      <w:b w:val="0"/>
      <w:sz w:val="24"/>
      <w:szCs w:val="24"/>
      <w:lang w:val="en-US"/>
    </w:rPr>
  </w:style>
  <w:style w:type="paragraph" w:styleId="29">
    <w:name w:val="index 2"/>
    <w:basedOn w:val="13"/>
    <w:next w:val="a0"/>
    <w:autoRedefine/>
    <w:rsid w:val="003F478E"/>
    <w:pPr>
      <w:ind w:left="404"/>
    </w:pPr>
  </w:style>
  <w:style w:type="paragraph" w:styleId="39">
    <w:name w:val="index 3"/>
    <w:basedOn w:val="13"/>
    <w:next w:val="a0"/>
    <w:autoRedefine/>
    <w:rsid w:val="003F478E"/>
    <w:pPr>
      <w:ind w:left="605"/>
    </w:pPr>
  </w:style>
  <w:style w:type="paragraph" w:styleId="46">
    <w:name w:val="index 4"/>
    <w:basedOn w:val="13"/>
    <w:next w:val="a0"/>
    <w:autoRedefine/>
    <w:rsid w:val="003F478E"/>
    <w:pPr>
      <w:ind w:left="807"/>
    </w:pPr>
  </w:style>
  <w:style w:type="paragraph" w:styleId="56">
    <w:name w:val="index 5"/>
    <w:basedOn w:val="13"/>
    <w:next w:val="a0"/>
    <w:autoRedefine/>
    <w:rsid w:val="003F478E"/>
    <w:pPr>
      <w:ind w:left="1008"/>
    </w:pPr>
  </w:style>
  <w:style w:type="paragraph" w:styleId="62">
    <w:name w:val="index 6"/>
    <w:basedOn w:val="13"/>
    <w:next w:val="a0"/>
    <w:autoRedefine/>
    <w:rsid w:val="003F478E"/>
    <w:pPr>
      <w:ind w:left="1196"/>
    </w:pPr>
  </w:style>
  <w:style w:type="paragraph" w:styleId="72">
    <w:name w:val="index 7"/>
    <w:basedOn w:val="13"/>
    <w:next w:val="a0"/>
    <w:autoRedefine/>
    <w:rsid w:val="003F478E"/>
    <w:pPr>
      <w:ind w:left="1397"/>
    </w:pPr>
  </w:style>
  <w:style w:type="paragraph" w:styleId="82">
    <w:name w:val="index 8"/>
    <w:basedOn w:val="13"/>
    <w:next w:val="a0"/>
    <w:autoRedefine/>
    <w:rsid w:val="003F478E"/>
    <w:pPr>
      <w:ind w:left="1599"/>
    </w:pPr>
  </w:style>
  <w:style w:type="paragraph" w:styleId="91">
    <w:name w:val="index 9"/>
    <w:basedOn w:val="13"/>
    <w:next w:val="a0"/>
    <w:autoRedefine/>
    <w:rsid w:val="003F478E"/>
    <w:pPr>
      <w:ind w:left="1800"/>
    </w:pPr>
  </w:style>
  <w:style w:type="paragraph" w:styleId="aff7">
    <w:name w:val="index heading"/>
    <w:basedOn w:val="aff6"/>
    <w:next w:val="13"/>
    <w:rsid w:val="003F478E"/>
    <w:rPr>
      <w:b w:val="0"/>
      <w:bCs w:val="0"/>
    </w:rPr>
  </w:style>
  <w:style w:type="paragraph" w:styleId="2a">
    <w:name w:val="envelope return"/>
    <w:basedOn w:val="a"/>
    <w:rsid w:val="003F478E"/>
    <w:pPr>
      <w:jc w:val="left"/>
    </w:pPr>
    <w:rPr>
      <w:rFonts w:ascii="Arial" w:hAnsi="Arial" w:cs="Arial"/>
      <w:sz w:val="24"/>
      <w:szCs w:val="24"/>
    </w:rPr>
  </w:style>
  <w:style w:type="paragraph" w:styleId="aff8">
    <w:name w:val="endnote text"/>
    <w:basedOn w:val="a0"/>
    <w:link w:val="aff9"/>
    <w:rsid w:val="003F478E"/>
    <w:pPr>
      <w:spacing w:after="240" w:line="240" w:lineRule="auto"/>
      <w:jc w:val="left"/>
    </w:pPr>
    <w:rPr>
      <w:b w:val="0"/>
      <w:sz w:val="24"/>
      <w:szCs w:val="24"/>
      <w:lang w:val="en-US"/>
    </w:rPr>
  </w:style>
  <w:style w:type="character" w:customStyle="1" w:styleId="aff9">
    <w:name w:val="Текст концевой сноски Знак"/>
    <w:basedOn w:val="a1"/>
    <w:link w:val="aff8"/>
    <w:rsid w:val="003F478E"/>
    <w:rPr>
      <w:sz w:val="24"/>
      <w:szCs w:val="24"/>
    </w:rPr>
  </w:style>
  <w:style w:type="paragraph" w:styleId="affa">
    <w:name w:val="Closing"/>
    <w:basedOn w:val="a0"/>
    <w:next w:val="aff2"/>
    <w:link w:val="affb"/>
    <w:rsid w:val="003F478E"/>
    <w:pPr>
      <w:spacing w:after="860" w:line="240" w:lineRule="auto"/>
      <w:jc w:val="left"/>
    </w:pPr>
    <w:rPr>
      <w:b w:val="0"/>
      <w:sz w:val="24"/>
      <w:szCs w:val="24"/>
      <w:lang w:val="en-US"/>
    </w:rPr>
  </w:style>
  <w:style w:type="character" w:customStyle="1" w:styleId="affb">
    <w:name w:val="Прощание Знак"/>
    <w:basedOn w:val="a1"/>
    <w:link w:val="affa"/>
    <w:rsid w:val="003F478E"/>
    <w:rPr>
      <w:sz w:val="24"/>
      <w:szCs w:val="24"/>
    </w:rPr>
  </w:style>
  <w:style w:type="character" w:styleId="affc">
    <w:name w:val="endnote reference"/>
    <w:rsid w:val="003F478E"/>
    <w:rPr>
      <w:rFonts w:ascii="Times New Roman" w:hAnsi="Times New Roman" w:cs="Times New Roman"/>
      <w:position w:val="6"/>
      <w:sz w:val="20"/>
      <w:szCs w:val="20"/>
      <w:vertAlign w:val="baseline"/>
    </w:rPr>
  </w:style>
  <w:style w:type="character" w:styleId="affd">
    <w:name w:val="line number"/>
    <w:rsid w:val="003F478E"/>
    <w:rPr>
      <w:rFonts w:ascii="Arial" w:hAnsi="Arial" w:cs="Arial"/>
      <w:sz w:val="16"/>
      <w:szCs w:val="16"/>
    </w:rPr>
  </w:style>
  <w:style w:type="paragraph" w:styleId="affe">
    <w:name w:val="Message Header"/>
    <w:basedOn w:val="a0"/>
    <w:link w:val="afff"/>
    <w:rsid w:val="003F478E"/>
    <w:pPr>
      <w:spacing w:after="240" w:line="240" w:lineRule="auto"/>
      <w:ind w:left="1080" w:hanging="1080"/>
      <w:jc w:val="left"/>
    </w:pPr>
    <w:rPr>
      <w:rFonts w:ascii="Arial" w:hAnsi="Arial" w:cs="Arial"/>
      <w:bCs/>
      <w:sz w:val="24"/>
      <w:szCs w:val="24"/>
      <w:lang w:val="en-US"/>
    </w:rPr>
  </w:style>
  <w:style w:type="character" w:customStyle="1" w:styleId="afff">
    <w:name w:val="Шапка Знак"/>
    <w:basedOn w:val="a1"/>
    <w:link w:val="affe"/>
    <w:rsid w:val="003F478E"/>
    <w:rPr>
      <w:rFonts w:ascii="Arial" w:hAnsi="Arial" w:cs="Arial"/>
      <w:b/>
      <w:bCs/>
      <w:sz w:val="24"/>
      <w:szCs w:val="24"/>
    </w:rPr>
  </w:style>
  <w:style w:type="paragraph" w:styleId="afff0">
    <w:name w:val="caption"/>
    <w:basedOn w:val="a0"/>
    <w:next w:val="a"/>
    <w:qFormat/>
    <w:rsid w:val="003F478E"/>
    <w:pPr>
      <w:keepLines/>
      <w:spacing w:before="120" w:after="120" w:line="240" w:lineRule="auto"/>
      <w:jc w:val="left"/>
    </w:pPr>
    <w:rPr>
      <w:rFonts w:ascii="Arial" w:hAnsi="Arial" w:cs="Arial"/>
      <w:bCs/>
      <w:lang w:val="en-US"/>
    </w:rPr>
  </w:style>
  <w:style w:type="paragraph" w:styleId="afff1">
    <w:name w:val="Subtitle"/>
    <w:basedOn w:val="2"/>
    <w:next w:val="a0"/>
    <w:link w:val="afff2"/>
    <w:qFormat/>
    <w:rsid w:val="003F478E"/>
    <w:pPr>
      <w:outlineLvl w:val="9"/>
    </w:pPr>
  </w:style>
  <w:style w:type="character" w:customStyle="1" w:styleId="afff2">
    <w:name w:val="Подзаголовок Знак"/>
    <w:basedOn w:val="a1"/>
    <w:link w:val="afff1"/>
    <w:rsid w:val="003F478E"/>
  </w:style>
  <w:style w:type="paragraph" w:styleId="afff3">
    <w:name w:val="Title"/>
    <w:basedOn w:val="aff6"/>
    <w:next w:val="afff1"/>
    <w:link w:val="afff4"/>
    <w:qFormat/>
    <w:rsid w:val="003F478E"/>
  </w:style>
  <w:style w:type="character" w:customStyle="1" w:styleId="afff4">
    <w:name w:val="Название Знак"/>
    <w:basedOn w:val="a1"/>
    <w:link w:val="afff3"/>
    <w:rsid w:val="003F478E"/>
    <w:rPr>
      <w:b/>
      <w:bCs/>
      <w:i/>
      <w:iCs/>
      <w:kern w:val="28"/>
      <w:sz w:val="72"/>
      <w:szCs w:val="72"/>
    </w:rPr>
  </w:style>
  <w:style w:type="paragraph" w:customStyle="1" w:styleId="HangingIndent1">
    <w:name w:val="Hanging Indent 1"/>
    <w:basedOn w:val="a0"/>
    <w:rsid w:val="003F478E"/>
    <w:pPr>
      <w:spacing w:after="240" w:line="240" w:lineRule="auto"/>
      <w:ind w:left="360" w:hanging="360"/>
      <w:jc w:val="left"/>
    </w:pPr>
    <w:rPr>
      <w:b w:val="0"/>
      <w:sz w:val="24"/>
      <w:szCs w:val="24"/>
      <w:lang w:val="en-US"/>
    </w:rPr>
  </w:style>
  <w:style w:type="paragraph" w:customStyle="1" w:styleId="HangingIndent2">
    <w:name w:val="Hanging Indent 2"/>
    <w:basedOn w:val="a0"/>
    <w:rsid w:val="003F478E"/>
    <w:pPr>
      <w:spacing w:after="240" w:line="240" w:lineRule="auto"/>
      <w:ind w:left="720" w:hanging="360"/>
      <w:jc w:val="left"/>
    </w:pPr>
    <w:rPr>
      <w:b w:val="0"/>
      <w:sz w:val="24"/>
      <w:szCs w:val="24"/>
      <w:lang w:val="en-US"/>
    </w:rPr>
  </w:style>
  <w:style w:type="paragraph" w:customStyle="1" w:styleId="HangingIndent3">
    <w:name w:val="Hanging Indent 3"/>
    <w:basedOn w:val="a0"/>
    <w:rsid w:val="003F478E"/>
    <w:pPr>
      <w:spacing w:after="240" w:line="240" w:lineRule="auto"/>
      <w:ind w:left="1080" w:hanging="360"/>
      <w:jc w:val="left"/>
    </w:pPr>
    <w:rPr>
      <w:b w:val="0"/>
      <w:sz w:val="24"/>
      <w:szCs w:val="24"/>
      <w:lang w:val="en-US"/>
    </w:rPr>
  </w:style>
  <w:style w:type="paragraph" w:customStyle="1" w:styleId="HangingIndent4">
    <w:name w:val="Hanging Indent 4"/>
    <w:basedOn w:val="a0"/>
    <w:rsid w:val="003F478E"/>
    <w:pPr>
      <w:spacing w:after="240" w:line="240" w:lineRule="auto"/>
      <w:ind w:left="1440" w:hanging="360"/>
      <w:jc w:val="left"/>
    </w:pPr>
    <w:rPr>
      <w:b w:val="0"/>
      <w:sz w:val="24"/>
      <w:szCs w:val="24"/>
      <w:lang w:val="en-US"/>
    </w:rPr>
  </w:style>
  <w:style w:type="paragraph" w:customStyle="1" w:styleId="HangingIndent5">
    <w:name w:val="Hanging Indent 5"/>
    <w:basedOn w:val="a0"/>
    <w:rsid w:val="003F478E"/>
    <w:pPr>
      <w:spacing w:after="240" w:line="240" w:lineRule="auto"/>
      <w:ind w:left="1800" w:hanging="360"/>
      <w:jc w:val="left"/>
    </w:pPr>
    <w:rPr>
      <w:b w:val="0"/>
      <w:sz w:val="24"/>
      <w:szCs w:val="24"/>
      <w:lang w:val="en-US"/>
    </w:rPr>
  </w:style>
  <w:style w:type="paragraph" w:customStyle="1" w:styleId="Bul-1">
    <w:name w:val="Bul-1"/>
    <w:basedOn w:val="a"/>
    <w:rsid w:val="003F478E"/>
    <w:pPr>
      <w:tabs>
        <w:tab w:val="left" w:pos="576"/>
        <w:tab w:val="left" w:pos="1152"/>
        <w:tab w:val="left" w:pos="1728"/>
        <w:tab w:val="left" w:pos="2304"/>
        <w:tab w:val="left" w:pos="2880"/>
        <w:tab w:val="left" w:pos="3456"/>
        <w:tab w:val="left" w:pos="4032"/>
      </w:tabs>
      <w:spacing w:after="240"/>
      <w:ind w:left="576" w:hanging="576"/>
    </w:pPr>
    <w:rPr>
      <w:rFonts w:ascii="Tms Rmn" w:hAnsi="Tms Rmn" w:cs="Tms Rmn"/>
      <w:sz w:val="24"/>
      <w:szCs w:val="24"/>
    </w:rPr>
  </w:style>
  <w:style w:type="paragraph" w:customStyle="1" w:styleId="zMC">
    <w:name w:val="z_MC"/>
    <w:basedOn w:val="a"/>
    <w:rsid w:val="003F478E"/>
    <w:pPr>
      <w:framePr w:w="4423" w:wrap="notBeside" w:vAnchor="page" w:hAnchor="page" w:x="6312" w:y="1475"/>
      <w:jc w:val="left"/>
    </w:pPr>
    <w:rPr>
      <w:rFonts w:ascii="Arial Narrow" w:hAnsi="Arial Narrow" w:cs="Arial Narrow"/>
      <w:spacing w:val="-20"/>
      <w:sz w:val="40"/>
      <w:szCs w:val="40"/>
    </w:rPr>
  </w:style>
  <w:style w:type="paragraph" w:customStyle="1" w:styleId="zDivision">
    <w:name w:val="z_Division"/>
    <w:basedOn w:val="a"/>
    <w:next w:val="a"/>
    <w:rsid w:val="003F478E"/>
    <w:pPr>
      <w:framePr w:h="220" w:hRule="exact" w:hSpace="180" w:vSpace="180" w:wrap="notBeside" w:vAnchor="page" w:hAnchor="page" w:x="8501" w:y="2321"/>
      <w:jc w:val="left"/>
    </w:pPr>
    <w:rPr>
      <w:rFonts w:ascii="Arial" w:hAnsi="Arial" w:cs="Arial"/>
      <w:sz w:val="17"/>
      <w:szCs w:val="17"/>
    </w:rPr>
  </w:style>
  <w:style w:type="character" w:customStyle="1" w:styleId="BodyText2Char">
    <w:name w:val="Body Text 2 Char"/>
    <w:rsid w:val="003F478E"/>
    <w:rPr>
      <w:rFonts w:ascii="Arial" w:hAnsi="Arial" w:cs="Arial"/>
      <w:sz w:val="15"/>
      <w:szCs w:val="15"/>
      <w:lang w:val="en-US" w:eastAsia="en-US"/>
    </w:rPr>
  </w:style>
  <w:style w:type="character" w:styleId="afff5">
    <w:name w:val="Hyperlink"/>
    <w:rsid w:val="003F478E"/>
    <w:rPr>
      <w:color w:val="0000FF"/>
      <w:u w:val="single"/>
    </w:rPr>
  </w:style>
  <w:style w:type="character" w:customStyle="1" w:styleId="af">
    <w:name w:val="Текст примечания Знак"/>
    <w:basedOn w:val="af4"/>
    <w:link w:val="ae"/>
    <w:uiPriority w:val="99"/>
    <w:semiHidden/>
    <w:rsid w:val="003F478E"/>
    <w:rPr>
      <w:b w:val="0"/>
      <w:lang w:val="ru-RU"/>
    </w:rPr>
  </w:style>
  <w:style w:type="character" w:customStyle="1" w:styleId="af1">
    <w:name w:val="Тема примечания Знак"/>
    <w:link w:val="af0"/>
    <w:rsid w:val="003F478E"/>
    <w:rPr>
      <w:b/>
      <w:bCs/>
    </w:rPr>
  </w:style>
  <w:style w:type="paragraph" w:customStyle="1" w:styleId="3a">
    <w:name w:val="Обычный3"/>
    <w:rsid w:val="003F478E"/>
    <w:pPr>
      <w:autoSpaceDE w:val="0"/>
      <w:autoSpaceDN w:val="0"/>
    </w:pPr>
    <w:rPr>
      <w:lang w:val="en-GB"/>
    </w:rPr>
  </w:style>
  <w:style w:type="character" w:customStyle="1" w:styleId="hps">
    <w:name w:val="hps"/>
    <w:basedOn w:val="a1"/>
    <w:rsid w:val="003F478E"/>
  </w:style>
  <w:style w:type="character" w:customStyle="1" w:styleId="33">
    <w:name w:val="Основной текст 3 Знак"/>
    <w:basedOn w:val="a1"/>
    <w:link w:val="32"/>
    <w:rsid w:val="003F478E"/>
    <w:rPr>
      <w:sz w:val="16"/>
      <w:szCs w:val="16"/>
    </w:rPr>
  </w:style>
  <w:style w:type="character" w:customStyle="1" w:styleId="10">
    <w:name w:val="Заголовок 1 Знак"/>
    <w:aliases w:val="Heading_eng 1 Знак"/>
    <w:basedOn w:val="a1"/>
    <w:link w:val="1"/>
    <w:rsid w:val="00FF7A8A"/>
    <w:rPr>
      <w:b/>
      <w:i/>
      <w:sz w:val="22"/>
    </w:rPr>
  </w:style>
  <w:style w:type="character" w:customStyle="1" w:styleId="aa">
    <w:name w:val="Текст сноски Знак"/>
    <w:link w:val="a9"/>
    <w:rsid w:val="00B928EA"/>
  </w:style>
  <w:style w:type="paragraph" w:customStyle="1" w:styleId="Default">
    <w:name w:val="Default"/>
    <w:rsid w:val="000B2BB2"/>
    <w:pPr>
      <w:autoSpaceDE w:val="0"/>
      <w:autoSpaceDN w:val="0"/>
      <w:adjustRightInd w:val="0"/>
    </w:pPr>
    <w:rPr>
      <w:rFonts w:ascii="Sylfaen" w:hAnsi="Sylfaen" w:cs="Sylfaen"/>
      <w:color w:val="000000"/>
      <w:sz w:val="24"/>
      <w:szCs w:val="24"/>
    </w:rPr>
  </w:style>
  <w:style w:type="character" w:customStyle="1" w:styleId="apple-style-span">
    <w:name w:val="apple-style-span"/>
    <w:rsid w:val="00974BBE"/>
  </w:style>
  <w:style w:type="table" w:customStyle="1" w:styleId="TableGrid1">
    <w:name w:val="Table Grid1"/>
    <w:basedOn w:val="a2"/>
    <w:next w:val="af2"/>
    <w:uiPriority w:val="59"/>
    <w:rsid w:val="00757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Абзац списка Знак"/>
    <w:basedOn w:val="a1"/>
    <w:link w:val="af7"/>
    <w:uiPriority w:val="34"/>
    <w:rsid w:val="001B1AF7"/>
    <w:rPr>
      <w:rFonts w:ascii="Arial" w:eastAsia="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3934">
      <w:bodyDiv w:val="1"/>
      <w:marLeft w:val="0"/>
      <w:marRight w:val="0"/>
      <w:marTop w:val="0"/>
      <w:marBottom w:val="0"/>
      <w:divBdr>
        <w:top w:val="none" w:sz="0" w:space="0" w:color="auto"/>
        <w:left w:val="none" w:sz="0" w:space="0" w:color="auto"/>
        <w:bottom w:val="none" w:sz="0" w:space="0" w:color="auto"/>
        <w:right w:val="none" w:sz="0" w:space="0" w:color="auto"/>
      </w:divBdr>
    </w:div>
    <w:div w:id="172956474">
      <w:bodyDiv w:val="1"/>
      <w:marLeft w:val="0"/>
      <w:marRight w:val="0"/>
      <w:marTop w:val="0"/>
      <w:marBottom w:val="0"/>
      <w:divBdr>
        <w:top w:val="none" w:sz="0" w:space="0" w:color="auto"/>
        <w:left w:val="none" w:sz="0" w:space="0" w:color="auto"/>
        <w:bottom w:val="none" w:sz="0" w:space="0" w:color="auto"/>
        <w:right w:val="none" w:sz="0" w:space="0" w:color="auto"/>
      </w:divBdr>
    </w:div>
    <w:div w:id="337123779">
      <w:bodyDiv w:val="1"/>
      <w:marLeft w:val="0"/>
      <w:marRight w:val="0"/>
      <w:marTop w:val="0"/>
      <w:marBottom w:val="0"/>
      <w:divBdr>
        <w:top w:val="none" w:sz="0" w:space="0" w:color="auto"/>
        <w:left w:val="none" w:sz="0" w:space="0" w:color="auto"/>
        <w:bottom w:val="none" w:sz="0" w:space="0" w:color="auto"/>
        <w:right w:val="none" w:sz="0" w:space="0" w:color="auto"/>
      </w:divBdr>
    </w:div>
    <w:div w:id="985664517">
      <w:bodyDiv w:val="1"/>
      <w:marLeft w:val="0"/>
      <w:marRight w:val="0"/>
      <w:marTop w:val="0"/>
      <w:marBottom w:val="0"/>
      <w:divBdr>
        <w:top w:val="none" w:sz="0" w:space="0" w:color="auto"/>
        <w:left w:val="none" w:sz="0" w:space="0" w:color="auto"/>
        <w:bottom w:val="none" w:sz="0" w:space="0" w:color="auto"/>
        <w:right w:val="none" w:sz="0" w:space="0" w:color="auto"/>
      </w:divBdr>
    </w:div>
    <w:div w:id="1333222278">
      <w:bodyDiv w:val="1"/>
      <w:marLeft w:val="0"/>
      <w:marRight w:val="0"/>
      <w:marTop w:val="0"/>
      <w:marBottom w:val="0"/>
      <w:divBdr>
        <w:top w:val="none" w:sz="0" w:space="0" w:color="auto"/>
        <w:left w:val="none" w:sz="0" w:space="0" w:color="auto"/>
        <w:bottom w:val="none" w:sz="0" w:space="0" w:color="auto"/>
        <w:right w:val="none" w:sz="0" w:space="0" w:color="auto"/>
      </w:divBdr>
    </w:div>
    <w:div w:id="1756394334">
      <w:bodyDiv w:val="1"/>
      <w:marLeft w:val="0"/>
      <w:marRight w:val="0"/>
      <w:marTop w:val="0"/>
      <w:marBottom w:val="0"/>
      <w:divBdr>
        <w:top w:val="none" w:sz="0" w:space="0" w:color="auto"/>
        <w:left w:val="none" w:sz="0" w:space="0" w:color="auto"/>
        <w:bottom w:val="none" w:sz="0" w:space="0" w:color="auto"/>
        <w:right w:val="none" w:sz="0" w:space="0" w:color="auto"/>
      </w:divBdr>
    </w:div>
    <w:div w:id="1861165711">
      <w:bodyDiv w:val="1"/>
      <w:marLeft w:val="0"/>
      <w:marRight w:val="0"/>
      <w:marTop w:val="0"/>
      <w:marBottom w:val="0"/>
      <w:divBdr>
        <w:top w:val="none" w:sz="0" w:space="0" w:color="auto"/>
        <w:left w:val="none" w:sz="0" w:space="0" w:color="auto"/>
        <w:bottom w:val="none" w:sz="0" w:space="0" w:color="auto"/>
        <w:right w:val="none" w:sz="0" w:space="0" w:color="auto"/>
      </w:divBdr>
    </w:div>
    <w:div w:id="20718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CS%20Deloitte\RCS%20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Attachment" ma:contentTypeID="0x01010045A37AAC9C7144A6950E04930CA3134B00D354A84E02681345842DF0FF98140539" ma:contentTypeVersion="7" ma:contentTypeDescription="Intranet Attachment - Content Type" ma:contentTypeScope="" ma:versionID="a1bebab2ce1529f9ef9a5f11befcfbc9">
  <xsd:schema xmlns:xsd="http://www.w3.org/2001/XMLSchema" xmlns:xs="http://www.w3.org/2001/XMLSchema" xmlns:p="http://schemas.microsoft.com/office/2006/metadata/properties" xmlns:ns1="http://schemas.microsoft.com/sharepoint/v3" xmlns:ns2="8DD08C88-CC4C-4D35-9129-A70DAA36BE5E" xmlns:ns3="0bb59847-317c-49d6-943d-8c61d1f99acf" xmlns:ns4="83DDB362-4C05-4E52-A8D9-EF2F47978B8D" xmlns:ns5="7D1768DD-F29E-4DC2-9191-F2636B9FA92C" xmlns:ns6="5a51c775-c49c-428b-8c1e-2f89178d00f4" xmlns:ns7="c6c82dae-8509-483a-bc37-560c16ab777c" xmlns:ns8="39C40E9B-856B-46A7-8793-65A6FC1828D8" targetNamespace="http://schemas.microsoft.com/office/2006/metadata/properties" ma:root="true" ma:fieldsID="0e392bbc7e4cf0d77ad736e0c4780999" ns1:_="" ns2:_="" ns3:_="" ns4:_="" ns5:_="" ns6:_="" ns7:_="" ns8:_="">
    <xsd:import namespace="http://schemas.microsoft.com/sharepoint/v3"/>
    <xsd:import namespace="8DD08C88-CC4C-4D35-9129-A70DAA36BE5E"/>
    <xsd:import namespace="0bb59847-317c-49d6-943d-8c61d1f99acf"/>
    <xsd:import namespace="83DDB362-4C05-4E52-A8D9-EF2F47978B8D"/>
    <xsd:import namespace="7D1768DD-F29E-4DC2-9191-F2636B9FA92C"/>
    <xsd:import namespace="5a51c775-c49c-428b-8c1e-2f89178d00f4"/>
    <xsd:import namespace="c6c82dae-8509-483a-bc37-560c16ab777c"/>
    <xsd:import namespace="39C40E9B-856B-46A7-8793-65A6FC1828D8"/>
    <xsd:element name="properties">
      <xsd:complexType>
        <xsd:sequence>
          <xsd:element name="documentManagement">
            <xsd:complexType>
              <xsd:all>
                <xsd:element ref="ns1:PublishingStartDate" minOccurs="0"/>
                <xsd:element ref="ns1:PublishingExpirationDate" minOccurs="0"/>
                <xsd:element ref="ns2:Global_x0020_Content_x0020_TypeTaxHTField0" minOccurs="0"/>
                <xsd:element ref="ns4:Global_x0020_IndustryTaxHTField0" minOccurs="0"/>
                <xsd:element ref="ns5:Global_x0020_Client_x0020_ServicesTaxHTField0" minOccurs="0"/>
                <xsd:element ref="ns2:Local_x0020_Content_x0020_TypeTaxHTField0" minOccurs="0"/>
                <xsd:element ref="ns4:Local_x0020_IndustryTaxHTField0" minOccurs="0"/>
                <xsd:element ref="ns5:Local_x0020_Client_x0020_ServicesTaxHTField0" minOccurs="0"/>
                <xsd:element ref="ns6:GeographyTaxHTField0" minOccurs="0"/>
                <xsd:element ref="ns7:TaxKeywordTaxHTField" minOccurs="0"/>
                <xsd:element ref="ns7:TaxCatchAll" minOccurs="0"/>
                <xsd:element ref="ns8:LanguageBTaxHTField0" minOccurs="0"/>
                <xsd:element ref="ns1:PublishingContact" minOccurs="0"/>
                <xsd:element ref="ns7:_dlc_DocId" minOccurs="0"/>
                <xsd:element ref="ns7:_dlc_DocIdUrl" minOccurs="0"/>
                <xsd:element ref="ns7:_dlc_DocIdPersistId" minOccurs="0"/>
                <xsd:element ref="ns3:Description" minOccurs="0"/>
                <xsd:element ref="ns7:SearchComment" minOccurs="0"/>
                <xsd:element ref="ns7:Search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ingContact" ma:index="29"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D08C88-CC4C-4D35-9129-A70DAA36BE5E" elementFormDefault="qualified">
    <xsd:import namespace="http://schemas.microsoft.com/office/2006/documentManagement/types"/>
    <xsd:import namespace="http://schemas.microsoft.com/office/infopath/2007/PartnerControls"/>
    <xsd:element name="Global_x0020_Content_x0020_TypeTaxHTField0" ma:index="10" nillable="true" ma:taxonomy="true" ma:internalName="Global_x0020_Content_x0020_TypeTaxH" ma:taxonomyFieldName="Global_x0020_Content_x0020_Type" ma:displayName="Global Content Type" ma:fieldId="{c9ea7640-adb2-4a99-8b8d-9790ccd879fc}" ma:taxonomyMulti="true" ma:sspId="155bb128-613e-4099-96fa-4403fd0cc87b" ma:termSetId="c1d74e5f-813e-428a-9d1d-e00dfcad3136" ma:anchorId="00000000-0000-0000-0000-000000000000" ma:open="false" ma:isKeyword="false">
      <xsd:complexType>
        <xsd:sequence>
          <xsd:element ref="pc:Terms" minOccurs="0" maxOccurs="1"/>
        </xsd:sequence>
      </xsd:complexType>
    </xsd:element>
    <xsd:element name="Local_x0020_Content_x0020_TypeTaxHTField0" ma:index="16" nillable="true" ma:taxonomy="true" ma:internalName="Local_x0020_Content_x0020_TypeTaxH" ma:taxonomyFieldName="Local_x0020_Content_x0020_Type" ma:displayName="Local Content Type" ma:fieldId="{f9592373-de5e-451c-bee5-c5fc319384b2}" ma:taxonomyMulti="true" ma:sspId="155bb128-613e-4099-96fa-4403fd0cc87b" ma:termSetId="71325c3c-855f-4016-ae90-48a98c58e6a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b59847-317c-49d6-943d-8c61d1f99acf" elementFormDefault="qualified">
    <xsd:import namespace="http://schemas.microsoft.com/office/2006/documentManagement/types"/>
    <xsd:import namespace="http://schemas.microsoft.com/office/infopath/2007/PartnerControls"/>
    <xsd:element name="Description" ma:index="33" nillable="true" ma:displayName="Description"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DB362-4C05-4E52-A8D9-EF2F47978B8D" elementFormDefault="qualified">
    <xsd:import namespace="http://schemas.microsoft.com/office/2006/documentManagement/types"/>
    <xsd:import namespace="http://schemas.microsoft.com/office/infopath/2007/PartnerControls"/>
    <xsd:element name="Global_x0020_IndustryTaxHTField0" ma:index="12" nillable="true" ma:taxonomy="true" ma:internalName="Global_x0020_IndustryTaxH" ma:taxonomyFieldName="Global_x0020_Industry" ma:displayName="Global Industry" ma:fieldId="{df491b90-4417-47d2-8d23-a7342d423c05}" ma:taxonomyMulti="true" ma:sspId="155bb128-613e-4099-96fa-4403fd0cc87b" ma:termSetId="30ef725a-a352-4b6b-b897-20d376f351a7" ma:anchorId="00000000-0000-0000-0000-000000000000" ma:open="false" ma:isKeyword="false">
      <xsd:complexType>
        <xsd:sequence>
          <xsd:element ref="pc:Terms" minOccurs="0" maxOccurs="1"/>
        </xsd:sequence>
      </xsd:complexType>
    </xsd:element>
    <xsd:element name="Local_x0020_IndustryTaxHTField0" ma:index="18" nillable="true" ma:taxonomy="true" ma:internalName="Local_x0020_IndustryTaxH" ma:taxonomyFieldName="Local_x0020_Industry" ma:displayName="Local Industry" ma:fieldId="{c3b7b5d6-88d7-4c9c-ba5a-ea3984318e23}" ma:taxonomyMulti="true" ma:sspId="155bb128-613e-4099-96fa-4403fd0cc87b" ma:termSetId="0f50edd8-f180-4274-afbc-8048378743e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768DD-F29E-4DC2-9191-F2636B9FA92C" elementFormDefault="qualified">
    <xsd:import namespace="http://schemas.microsoft.com/office/2006/documentManagement/types"/>
    <xsd:import namespace="http://schemas.microsoft.com/office/infopath/2007/PartnerControls"/>
    <xsd:element name="Global_x0020_Client_x0020_ServicesTaxHTField0" ma:index="14" nillable="true" ma:taxonomy="true" ma:internalName="Global_x0020_Client_x0020_ServicesTaxH" ma:taxonomyFieldName="Global_x0020_Client_x0020_Services" ma:displayName="Global Client Services" ma:fieldId="{8ed687d5-3528-48ef-a924-80521903bc78}" ma:taxonomyMulti="true" ma:sspId="155bb128-613e-4099-96fa-4403fd0cc87b" ma:termSetId="44905aca-31e9-4e2c-a2a6-9ecd7fd47edd" ma:anchorId="00000000-0000-0000-0000-000000000000" ma:open="false" ma:isKeyword="false">
      <xsd:complexType>
        <xsd:sequence>
          <xsd:element ref="pc:Terms" minOccurs="0" maxOccurs="1"/>
        </xsd:sequence>
      </xsd:complexType>
    </xsd:element>
    <xsd:element name="Local_x0020_Client_x0020_ServicesTaxHTField0" ma:index="20" nillable="true" ma:taxonomy="true" ma:internalName="Local_x0020_Client_x0020_ServicesTaxH" ma:taxonomyFieldName="Local_x0020_Client_x0020_Services" ma:displayName="Local Client Services" ma:fieldId="{710f8f79-460c-4899-83de-22ebc15c7f35}" ma:taxonomyMulti="true" ma:sspId="155bb128-613e-4099-96fa-4403fd0cc87b" ma:termSetId="587f4f2d-e2a8-4747-91a8-ad30e346384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51c775-c49c-428b-8c1e-2f89178d00f4" elementFormDefault="qualified">
    <xsd:import namespace="http://schemas.microsoft.com/office/2006/documentManagement/types"/>
    <xsd:import namespace="http://schemas.microsoft.com/office/infopath/2007/PartnerControls"/>
    <xsd:element name="GeographyTaxHTField0" ma:index="22" ma:taxonomy="true" ma:internalName="GeographyTaxH" ma:taxonomyFieldName="Geography" ma:displayName="Geography" ma:default="" ma:fieldId="{b1dab815-7eaf-4f42-958c-926f58efb7da}" ma:taxonomyMulti="true" ma:sspId="155bb128-613e-4099-96fa-4403fd0cc87b" ma:termSetId="17bed538-0ecf-4a0a-aaaf-d58d2a12ae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c82dae-8509-483a-bc37-560c16ab777c" elementFormDefault="qualified">
    <xsd:import namespace="http://schemas.microsoft.com/office/2006/documentManagement/types"/>
    <xsd:import namespace="http://schemas.microsoft.com/office/infopath/2007/PartnerControls"/>
    <xsd:element name="TaxKeywordTaxHTField" ma:index="25" nillable="true" ma:taxonomy="true" ma:internalName="TaxKeywordTaxHTField" ma:taxonomyFieldName="TaxKeyword" ma:displayName="Enterprise Keywords" ma:fieldId="{23f27201-bee3-471e-b2e7-b64fd8b7ca38}" ma:taxonomyMulti="true" ma:sspId="42617199-969e-43f2-8ee4-a07d5bee7f1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38e3467a-bf8c-427b-80c3-ee442218339d}" ma:internalName="TaxCatchAll" ma:showField="CatchAllData" ma:web="c6c82dae-8509-483a-bc37-560c16ab777c">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SearchComment" ma:index="35" nillable="true" ma:displayName="Comment" ma:internalName="SearchComment">
      <xsd:simpleType>
        <xsd:restriction base="dms:Note">
          <xsd:maxLength value="255"/>
        </xsd:restriction>
      </xsd:simpleType>
    </xsd:element>
    <xsd:element name="SearchKeywords" ma:index="36" nillable="true" ma:displayName="Keyword(s)" ma:internalName="SearchKeyword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40E9B-856B-46A7-8793-65A6FC1828D8" elementFormDefault="qualified">
    <xsd:import namespace="http://schemas.microsoft.com/office/2006/documentManagement/types"/>
    <xsd:import namespace="http://schemas.microsoft.com/office/infopath/2007/PartnerControls"/>
    <xsd:element name="LanguageBTaxHTField0" ma:index="27" ma:taxonomy="true" ma:internalName="LanguageBTaxH" ma:taxonomyFieldName="LanguageB" ma:displayName="Language" ma:fieldId="{264823c8-7255-4fb1-8550-4386b0b212a8}" ma:taxonomyMulti="true" ma:sspId="155bb128-613e-4099-96fa-4403fd0cc87b" ma:termSetId="af9198f1-74aa-4e26-b87e-e1ce7d7e6bd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anguageBTaxHTField0 xmlns="39C40E9B-856B-46A7-8793-65A6FC1828D8">
      <Terms xmlns="http://schemas.microsoft.com/office/infopath/2007/PartnerControls"/>
    </LanguageBTaxHTField0>
    <SearchComment xmlns="c6c82dae-8509-483a-bc37-560c16ab777c" xsi:nil="true"/>
    <Global_x0020_Client_x0020_ServicesTaxHTField0 xmlns="7D1768DD-F29E-4DC2-9191-F2636B9FA92C">
      <Terms xmlns="http://schemas.microsoft.com/office/infopath/2007/PartnerControls"/>
    </Global_x0020_Client_x0020_ServicesTaxHTField0>
    <TaxKeywordTaxHTField xmlns="c6c82dae-8509-483a-bc37-560c16ab777c">
      <Terms xmlns="http://schemas.microsoft.com/office/infopath/2007/PartnerControls"/>
    </TaxKeywordTaxHTField>
    <Local_x0020_Content_x0020_TypeTaxHTField0 xmlns="8DD08C88-CC4C-4D35-9129-A70DAA36BE5E">
      <Terms xmlns="http://schemas.microsoft.com/office/infopath/2007/PartnerControls"/>
    </Local_x0020_Content_x0020_TypeTaxHTField0>
    <Description xmlns="0bb59847-317c-49d6-943d-8c61d1f99acf" xsi:nil="true"/>
    <SearchKeywords xmlns="c6c82dae-8509-483a-bc37-560c16ab777c" xsi:nil="true"/>
    <Global_x0020_Content_x0020_TypeTaxHTField0 xmlns="8DD08C88-CC4C-4D35-9129-A70DAA36BE5E">
      <Terms xmlns="http://schemas.microsoft.com/office/infopath/2007/PartnerControls"/>
    </Global_x0020_Content_x0020_TypeTaxHTField0>
    <GeographyTaxHTField0 xmlns="5a51c775-c49c-428b-8c1e-2f89178d00f4">
      <Terms xmlns="http://schemas.microsoft.com/office/infopath/2007/PartnerControls"/>
    </GeographyTaxHTField0>
    <PublishingExpirationDate xmlns="http://schemas.microsoft.com/sharepoint/v3" xsi:nil="true"/>
    <Local_x0020_Client_x0020_ServicesTaxHTField0 xmlns="7D1768DD-F29E-4DC2-9191-F2636B9FA92C">
      <Terms xmlns="http://schemas.microsoft.com/office/infopath/2007/PartnerControls"/>
    </Local_x0020_Client_x0020_ServicesTaxHTField0>
    <TaxCatchAll xmlns="c6c82dae-8509-483a-bc37-560c16ab777c">
      <Value>140</Value>
      <Value>37</Value>
    </TaxCatchAll>
    <PublishingStartDate xmlns="http://schemas.microsoft.com/sharepoint/v3" xsi:nil="true"/>
    <Local_x0020_IndustryTaxHTField0 xmlns="83DDB362-4C05-4E52-A8D9-EF2F47978B8D">
      <Terms xmlns="http://schemas.microsoft.com/office/infopath/2007/PartnerControls"/>
    </Local_x0020_IndustryTaxHTField0>
    <Global_x0020_IndustryTaxHTField0 xmlns="83DDB362-4C05-4E52-A8D9-EF2F47978B8D">
      <Terms xmlns="http://schemas.microsoft.com/office/infopath/2007/PartnerControls"/>
    </Global_x0020_IndustryTaxHTField0>
    <PublishingContact xmlns="http://schemas.microsoft.com/sharepoint/v3">
      <UserInfo>
        <DisplayName/>
        <AccountId xsi:nil="true"/>
        <AccountType/>
      </UserInfo>
    </PublishingContac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2661-AD0D-4FC0-A609-BF6DA5DF3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D08C88-CC4C-4D35-9129-A70DAA36BE5E"/>
    <ds:schemaRef ds:uri="0bb59847-317c-49d6-943d-8c61d1f99acf"/>
    <ds:schemaRef ds:uri="83DDB362-4C05-4E52-A8D9-EF2F47978B8D"/>
    <ds:schemaRef ds:uri="7D1768DD-F29E-4DC2-9191-F2636B9FA92C"/>
    <ds:schemaRef ds:uri="5a51c775-c49c-428b-8c1e-2f89178d00f4"/>
    <ds:schemaRef ds:uri="c6c82dae-8509-483a-bc37-560c16ab777c"/>
    <ds:schemaRef ds:uri="39C40E9B-856B-46A7-8793-65A6FC182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4833C-0BCD-4BDB-A64F-32A412003023}">
  <ds:schemaRefs>
    <ds:schemaRef ds:uri="http://schemas.microsoft.com/sharepoint/v3/contenttype/forms"/>
  </ds:schemaRefs>
</ds:datastoreItem>
</file>

<file path=customXml/itemProps3.xml><?xml version="1.0" encoding="utf-8"?>
<ds:datastoreItem xmlns:ds="http://schemas.openxmlformats.org/officeDocument/2006/customXml" ds:itemID="{92A0A80D-DFDA-48B5-B9D7-7C71F4385142}">
  <ds:schemaRefs>
    <ds:schemaRef ds:uri="http://schemas.microsoft.com/office/2006/metadata/longProperties"/>
  </ds:schemaRefs>
</ds:datastoreItem>
</file>

<file path=customXml/itemProps4.xml><?xml version="1.0" encoding="utf-8"?>
<ds:datastoreItem xmlns:ds="http://schemas.openxmlformats.org/officeDocument/2006/customXml" ds:itemID="{BC2E4BEF-6619-4A80-9CC5-C4A8E90612BF}">
  <ds:schemaRefs>
    <ds:schemaRef ds:uri="http://schemas.microsoft.com/sharepoint/events"/>
  </ds:schemaRefs>
</ds:datastoreItem>
</file>

<file path=customXml/itemProps5.xml><?xml version="1.0" encoding="utf-8"?>
<ds:datastoreItem xmlns:ds="http://schemas.openxmlformats.org/officeDocument/2006/customXml" ds:itemID="{B921119D-F11D-4A94-8115-3CDE1FE4D609}">
  <ds:schemaRefs>
    <ds:schemaRef ds:uri="http://purl.org/dc/dcmitype/"/>
    <ds:schemaRef ds:uri="0bb59847-317c-49d6-943d-8c61d1f99acf"/>
    <ds:schemaRef ds:uri="7D1768DD-F29E-4DC2-9191-F2636B9FA92C"/>
    <ds:schemaRef ds:uri="39C40E9B-856B-46A7-8793-65A6FC1828D8"/>
    <ds:schemaRef ds:uri="http://www.w3.org/XML/1998/namespace"/>
    <ds:schemaRef ds:uri="83DDB362-4C05-4E52-A8D9-EF2F47978B8D"/>
    <ds:schemaRef ds:uri="c6c82dae-8509-483a-bc37-560c16ab777c"/>
    <ds:schemaRef ds:uri="http://schemas.openxmlformats.org/package/2006/metadata/core-properties"/>
    <ds:schemaRef ds:uri="http://schemas.microsoft.com/sharepoint/v3"/>
    <ds:schemaRef ds:uri="5a51c775-c49c-428b-8c1e-2f89178d00f4"/>
    <ds:schemaRef ds:uri="http://purl.org/dc/elements/1.1/"/>
    <ds:schemaRef ds:uri="http://purl.org/dc/terms/"/>
    <ds:schemaRef ds:uri="http://schemas.microsoft.com/office/infopath/2007/PartnerControls"/>
    <ds:schemaRef ds:uri="8DD08C88-CC4C-4D35-9129-A70DAA36BE5E"/>
    <ds:schemaRef ds:uri="http://schemas.microsoft.com/office/2006/metadata/properties"/>
    <ds:schemaRef ds:uri="http://schemas.microsoft.com/office/2006/documentManagement/types"/>
  </ds:schemaRefs>
</ds:datastoreItem>
</file>

<file path=customXml/itemProps6.xml><?xml version="1.0" encoding="utf-8"?>
<ds:datastoreItem xmlns:ds="http://schemas.openxmlformats.org/officeDocument/2006/customXml" ds:itemID="{B4DC1980-E5A5-4077-96F3-8FEE159E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RCS eng</Template>
  <TotalTime>1</TotalTime>
  <Pages>23</Pages>
  <Words>15131</Words>
  <Characters>86250</Characters>
  <Application>Microsoft Office Word</Application>
  <DocSecurity>4</DocSecurity>
  <Lines>718</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Engagement Letter Framework Bilingual</vt:lpstr>
      <vt:lpstr>Engagement Letter Framework Bilingual</vt:lpstr>
    </vt:vector>
  </TitlesOfParts>
  <Company>Deloitte &amp; Touche</Company>
  <LinksUpToDate>false</LinksUpToDate>
  <CharactersWithSpaces>101179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Letter Framework Bilingual</dc:title>
  <dc:creator>IHL</dc:creator>
  <cp:lastModifiedBy>Кулабухова Кира Викторовна</cp:lastModifiedBy>
  <cp:revision>2</cp:revision>
  <cp:lastPrinted>2016-12-29T06:27:00Z</cp:lastPrinted>
  <dcterms:created xsi:type="dcterms:W3CDTF">2016-12-29T09:25:00Z</dcterms:created>
  <dcterms:modified xsi:type="dcterms:W3CDTF">2016-12-29T09:25:00Z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Tax &amp; Legal</vt:lpwstr>
  </property>
  <property fmtid="{D5CDD505-2E9C-101B-9397-08002B2CF9AE}" pid="3" name="Document type">
    <vt:lpwstr>Letter</vt:lpwstr>
  </property>
  <property fmtid="{D5CDD505-2E9C-101B-9397-08002B2CF9AE}" pid="4" name="Topic">
    <vt:lpwstr>Standards</vt:lpwstr>
  </property>
  <property fmtid="{D5CDD505-2E9C-101B-9397-08002B2CF9AE}" pid="5" name="Status">
    <vt:lpwstr>Final</vt:lpwstr>
  </property>
  <property fmtid="{D5CDD505-2E9C-101B-9397-08002B2CF9AE}" pid="6" name="Country">
    <vt:lpwstr>Russia</vt:lpwstr>
  </property>
  <property fmtid="{D5CDD505-2E9C-101B-9397-08002B2CF9AE}" pid="7" name="SPSDescription">
    <vt:lpwstr/>
  </property>
  <property fmtid="{D5CDD505-2E9C-101B-9397-08002B2CF9AE}" pid="8" name="Owner">
    <vt:lpwstr/>
  </property>
  <property fmtid="{D5CDD505-2E9C-101B-9397-08002B2CF9AE}" pid="9" name="TaxKeyword">
    <vt:lpwstr/>
  </property>
  <property fmtid="{D5CDD505-2E9C-101B-9397-08002B2CF9AE}" pid="10" name="Geography">
    <vt:lpwstr>140;#Russia (RU) (2487)|3d00e9ff-0a29-4b6c-aa7b-488e58c71a8f</vt:lpwstr>
  </property>
  <property fmtid="{D5CDD505-2E9C-101B-9397-08002B2CF9AE}" pid="11" name="LanguageB">
    <vt:lpwstr>37;#Russian|994f7b16-7eab-40b2-b502-e3e69ec9480c</vt:lpwstr>
  </property>
  <property fmtid="{D5CDD505-2E9C-101B-9397-08002B2CF9AE}" pid="12" name="_dlc_DocId">
    <vt:lpwstr>R5NC64AKCYNZ-223-529</vt:lpwstr>
  </property>
  <property fmtid="{D5CDD505-2E9C-101B-9397-08002B2CF9AE}" pid="13" name="_dlc_DocIdItemGuid">
    <vt:lpwstr>6ff65690-fae7-4c0c-8de3-10a440c86a1e</vt:lpwstr>
  </property>
  <property fmtid="{D5CDD505-2E9C-101B-9397-08002B2CF9AE}" pid="14" name="_dlc_DocIdUrl">
    <vt:lpwstr>https://cis.deloitteresources.com/practice/ihl/_layouts/DocIdRedir.aspx?ID=R5NC64AKCYNZ-223-529, R5NC64AKCYNZ-223-529</vt:lpwstr>
  </property>
  <property fmtid="{D5CDD505-2E9C-101B-9397-08002B2CF9AE}" pid="15" name="Local Content Type">
    <vt:lpwstr/>
  </property>
  <property fmtid="{D5CDD505-2E9C-101B-9397-08002B2CF9AE}" pid="16" name="Local Client Services">
    <vt:lpwstr/>
  </property>
  <property fmtid="{D5CDD505-2E9C-101B-9397-08002B2CF9AE}" pid="17" name="Local Industry">
    <vt:lpwstr/>
  </property>
  <property fmtid="{D5CDD505-2E9C-101B-9397-08002B2CF9AE}" pid="18" name="Global Client Services">
    <vt:lpwstr/>
  </property>
  <property fmtid="{D5CDD505-2E9C-101B-9397-08002B2CF9AE}" pid="19" name="Global Industry">
    <vt:lpwstr/>
  </property>
  <property fmtid="{D5CDD505-2E9C-101B-9397-08002B2CF9AE}" pid="20" name="Global Content Type">
    <vt:lpwstr/>
  </property>
</Properties>
</file>