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  <w:r w:rsidRPr="00CE1C40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4B4236" w:rsidRPr="00C6580A" w:rsidRDefault="004B4236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FF23D2">
        <w:rPr>
          <w:rFonts w:ascii="Franklin Gothic Book" w:hAnsi="Franklin Gothic Book"/>
          <w:b/>
        </w:rPr>
        <w:t>334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C80D74">
        <w:rPr>
          <w:rFonts w:ascii="Franklin Gothic Book" w:hAnsi="Franklin Gothic Book"/>
          <w:b/>
        </w:rPr>
        <w:t>6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:rsidR="004B4236" w:rsidRPr="00A16CBB" w:rsidRDefault="004B4236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F356C0">
        <w:rPr>
          <w:rFonts w:ascii="Franklin Gothic Book" w:hAnsi="Franklin Gothic Book"/>
        </w:rPr>
        <w:t>07</w:t>
      </w:r>
      <w:r w:rsidR="00A16CBB" w:rsidRPr="00A16CBB">
        <w:rPr>
          <w:rFonts w:ascii="Franklin Gothic Book" w:hAnsi="Franklin Gothic Book"/>
        </w:rPr>
        <w:t xml:space="preserve"> </w:t>
      </w:r>
      <w:r w:rsidR="00F356C0">
        <w:rPr>
          <w:rFonts w:ascii="Franklin Gothic Book" w:hAnsi="Franklin Gothic Book"/>
        </w:rPr>
        <w:t>декабря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FF23D2" w:rsidRPr="00FF23D2">
              <w:rPr>
                <w:rFonts w:ascii="Franklin Gothic Book" w:hAnsi="Franklin Gothic Book"/>
              </w:rPr>
              <w:t>каната ПАТ d-22мм по ТУ-8121-022-00461221-2004, каната ПАТ d-26мм по ТУ-8121-022-00461221-2004</w:t>
            </w:r>
            <w:r w:rsidR="003B72AB" w:rsidRPr="003B72AB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F23D2" w:rsidRPr="00FF23D2">
        <w:rPr>
          <w:rFonts w:ascii="Franklin Gothic Book" w:hAnsi="Franklin Gothic Book"/>
        </w:rPr>
        <w:t xml:space="preserve">157 774,58 (сто пятьдесят семь тысяч семьсот </w:t>
      </w:r>
      <w:r w:rsidR="00E32822">
        <w:rPr>
          <w:rFonts w:ascii="Franklin Gothic Book" w:hAnsi="Franklin Gothic Book"/>
        </w:rPr>
        <w:t>семьдесят</w:t>
      </w:r>
      <w:bookmarkStart w:id="2" w:name="_GoBack"/>
      <w:bookmarkEnd w:id="2"/>
      <w:r w:rsidR="00FF23D2" w:rsidRPr="00FF23D2">
        <w:rPr>
          <w:rFonts w:ascii="Franklin Gothic Book" w:hAnsi="Franklin Gothic Book"/>
        </w:rPr>
        <w:t xml:space="preserve"> четыре) рубля 58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719D" w:rsidRPr="0078395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91719D" w:rsidRPr="000F44B9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91719D" w:rsidRPr="0078395D" w:rsidRDefault="0091719D" w:rsidP="0091719D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91719D" w:rsidRPr="00DF08F8" w:rsidRDefault="0091719D" w:rsidP="0091719D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91719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075C54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 xml:space="preserve"> </w:t>
      </w:r>
      <w:r w:rsidR="00075C5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.</w:t>
      </w:r>
      <w:r w:rsidR="00075C54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A228D3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8"/>
        </w:rPr>
      </w:pPr>
    </w:p>
    <w:p w:rsidR="00D63D49" w:rsidRDefault="00FF23D2" w:rsidP="00FF23D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31</w:t>
      </w:r>
      <w:r w:rsidR="00AE222B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FF23D2">
        <w:rPr>
          <w:rFonts w:ascii="Franklin Gothic Book" w:hAnsi="Franklin Gothic Book"/>
        </w:rPr>
        <w:t>каната ПАТ d-22мм по ТУ-8121-022-00461221-2004, каната ПАТ d-26мм по ТУ-8121-022-00461221-2004</w:t>
      </w:r>
      <w:r w:rsidR="00CE1C40" w:rsidRPr="00CE1C40">
        <w:rPr>
          <w:rFonts w:ascii="Franklin Gothic Book" w:hAnsi="Franklin Gothic Book"/>
        </w:rPr>
        <w:t>.</w:t>
      </w:r>
    </w:p>
    <w:p w:rsidR="00CE1C40" w:rsidRPr="00A228D3" w:rsidRDefault="00CE1C40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6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FF23D2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FF23D2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FF23D2">
        <w:rPr>
          <w:rFonts w:ascii="Franklin Gothic Book" w:hAnsi="Franklin Gothic Book"/>
        </w:rPr>
        <w:t>й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667"/>
        <w:gridCol w:w="2570"/>
        <w:gridCol w:w="2940"/>
      </w:tblGrid>
      <w:tr w:rsidR="00853D6D" w:rsidRPr="008763A8" w:rsidTr="00853D6D">
        <w:trPr>
          <w:trHeight w:val="492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853D6D" w:rsidRPr="008763A8" w:rsidRDefault="00853D6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853D6D" w:rsidRPr="008763A8" w:rsidRDefault="00853D6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53D6D" w:rsidRPr="008763A8" w:rsidRDefault="00853D6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853D6D" w:rsidRPr="008763A8" w:rsidRDefault="00853D6D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853D6D" w:rsidRPr="008763A8" w:rsidTr="00853D6D">
        <w:trPr>
          <w:trHeight w:val="70"/>
          <w:jc w:val="center"/>
        </w:trPr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6D" w:rsidRPr="007E2407" w:rsidRDefault="00853D6D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7176">
              <w:rPr>
                <w:rFonts w:ascii="Franklin Gothic Book" w:hAnsi="Franklin Gothic Book"/>
                <w:b/>
                <w:snapToGrid w:val="0"/>
              </w:rPr>
              <w:t>ООО "ПОДЪЕМТРАНСМАШ"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853D6D" w:rsidRPr="007E2407" w:rsidRDefault="00853D6D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7176">
              <w:rPr>
                <w:rFonts w:ascii="Franklin Gothic Book" w:hAnsi="Franklin Gothic Book"/>
                <w:snapToGrid w:val="0"/>
              </w:rPr>
              <w:t xml:space="preserve">198095, Россия, г. Санкт - Петербург, ул. </w:t>
            </w:r>
            <w:proofErr w:type="spellStart"/>
            <w:r w:rsidRPr="00437176">
              <w:rPr>
                <w:rFonts w:ascii="Franklin Gothic Book" w:hAnsi="Franklin Gothic Book"/>
                <w:snapToGrid w:val="0"/>
              </w:rPr>
              <w:t>Трефолева</w:t>
            </w:r>
            <w:proofErr w:type="spellEnd"/>
            <w:r w:rsidRPr="00437176">
              <w:rPr>
                <w:rFonts w:ascii="Franklin Gothic Book" w:hAnsi="Franklin Gothic Book"/>
                <w:snapToGrid w:val="0"/>
              </w:rPr>
              <w:t>, д. 9, корп. 2, лит. А, пом. 2Н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6D" w:rsidRPr="00E54616" w:rsidRDefault="00853D6D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7176">
              <w:rPr>
                <w:rFonts w:ascii="Franklin Gothic Book" w:hAnsi="Franklin Gothic Book"/>
                <w:b/>
                <w:snapToGrid w:val="0"/>
              </w:rPr>
              <w:t>153 400,00</w:t>
            </w:r>
          </w:p>
          <w:p w:rsidR="00853D6D" w:rsidRPr="007E2407" w:rsidRDefault="00853D6D" w:rsidP="00E814B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сто пятьдесят три тысячи четыреста)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D6D" w:rsidRPr="007E2407" w:rsidRDefault="00853D6D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Нет информации</w:t>
            </w:r>
          </w:p>
        </w:tc>
      </w:tr>
      <w:tr w:rsidR="00853D6D" w:rsidRPr="008763A8" w:rsidTr="00853D6D">
        <w:trPr>
          <w:trHeight w:val="113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87B02">
              <w:rPr>
                <w:rFonts w:ascii="Franklin Gothic Book" w:hAnsi="Franklin Gothic Book"/>
                <w:b/>
                <w:snapToGrid w:val="0"/>
              </w:rPr>
              <w:t>ООО "СЕВМОРМОНТАЖ"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853D6D" w:rsidRPr="008763A8" w:rsidRDefault="00853D6D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87B02">
              <w:rPr>
                <w:rFonts w:ascii="Franklin Gothic Book" w:hAnsi="Franklin Gothic Book"/>
                <w:snapToGrid w:val="0"/>
              </w:rPr>
              <w:t>198152, Россия, г. Санкт - Петербург, ул. Новостроек, д. 3, лит. А, пом. 8 Н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87B02">
              <w:rPr>
                <w:rFonts w:ascii="Franklin Gothic Book" w:hAnsi="Franklin Gothic Book"/>
                <w:b/>
                <w:snapToGrid w:val="0"/>
              </w:rPr>
              <w:t>124 973,80</w:t>
            </w:r>
          </w:p>
          <w:p w:rsidR="00853D6D" w:rsidRPr="008763A8" w:rsidRDefault="00853D6D" w:rsidP="00091E1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двадцать четыре тысячи девятьсот семьдесят три)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</w:tr>
      <w:tr w:rsidR="00853D6D" w:rsidRPr="008763A8" w:rsidTr="00853D6D">
        <w:trPr>
          <w:trHeight w:val="113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Default="00853D6D" w:rsidP="00853D6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853D6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87B02">
              <w:rPr>
                <w:rFonts w:ascii="Franklin Gothic Book" w:hAnsi="Franklin Gothic Book"/>
                <w:b/>
                <w:snapToGrid w:val="0"/>
              </w:rPr>
              <w:t>ООО "</w:t>
            </w:r>
            <w:r w:rsidRPr="00853D6D">
              <w:rPr>
                <w:rFonts w:ascii="Franklin Gothic Book" w:hAnsi="Franklin Gothic Book"/>
                <w:b/>
                <w:snapToGrid w:val="0"/>
              </w:rPr>
              <w:t>ЮГСПЕЦОБОРУДОВАНИЕ</w:t>
            </w:r>
            <w:r w:rsidRPr="00B87B02">
              <w:rPr>
                <w:rFonts w:ascii="Franklin Gothic Book" w:hAnsi="Franklin Gothic Book"/>
                <w:b/>
                <w:snapToGrid w:val="0"/>
              </w:rPr>
              <w:t>"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853D6D" w:rsidRPr="008763A8" w:rsidRDefault="00853D6D" w:rsidP="00853D6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53D6D">
              <w:rPr>
                <w:rFonts w:ascii="Franklin Gothic Book" w:hAnsi="Franklin Gothic Book"/>
                <w:snapToGrid w:val="0"/>
              </w:rPr>
              <w:t>353915, Россия, Краснодарский край, г. Новороссийск, пр-т Дзержинского, д. 225, пом. VIII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1E6948" w:rsidP="00853D6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145 938,86</w:t>
            </w:r>
          </w:p>
          <w:p w:rsidR="00853D6D" w:rsidRPr="008763A8" w:rsidRDefault="00853D6D" w:rsidP="001E694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E6948">
              <w:rPr>
                <w:rFonts w:ascii="Franklin Gothic Book" w:hAnsi="Franklin Gothic Book"/>
                <w:snapToGrid w:val="0"/>
              </w:rPr>
              <w:t>сто сорок пять тысяч девятьсот тридцать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1E694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</w:t>
            </w:r>
            <w:r w:rsidR="001E6948">
              <w:rPr>
                <w:rFonts w:ascii="Franklin Gothic Book" w:hAnsi="Franklin Gothic Book"/>
                <w:snapToGrid w:val="0"/>
              </w:rPr>
              <w:t>6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D6D" w:rsidRPr="008763A8" w:rsidRDefault="00853D6D" w:rsidP="001E694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1E6948">
              <w:rPr>
                <w:rFonts w:ascii="Franklin Gothic Book" w:hAnsi="Franklin Gothic Book"/>
                <w:snapToGrid w:val="0"/>
              </w:rPr>
              <w:t xml:space="preserve">0 </w:t>
            </w:r>
            <w:r>
              <w:rPr>
                <w:rFonts w:ascii="Franklin Gothic Book" w:hAnsi="Franklin Gothic Book"/>
                <w:snapToGrid w:val="0"/>
              </w:rPr>
              <w:t>календарных дней</w:t>
            </w:r>
          </w:p>
        </w:tc>
      </w:tr>
      <w:tr w:rsidR="001E6948" w:rsidRPr="008763A8" w:rsidTr="00853D6D">
        <w:trPr>
          <w:trHeight w:val="113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48" w:rsidRDefault="001E6948" w:rsidP="001E694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48" w:rsidRPr="008763A8" w:rsidRDefault="001E6948" w:rsidP="001E694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1E6948">
              <w:rPr>
                <w:rFonts w:ascii="Franklin Gothic Book" w:hAnsi="Franklin Gothic Book"/>
                <w:b/>
                <w:snapToGrid w:val="0"/>
              </w:rPr>
              <w:t>ООО "Рукавичка"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1E6948" w:rsidRPr="008763A8" w:rsidRDefault="001E6948" w:rsidP="001E694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E6948">
              <w:rPr>
                <w:rFonts w:ascii="Franklin Gothic Book" w:hAnsi="Franklin Gothic Book"/>
                <w:snapToGrid w:val="0"/>
              </w:rPr>
              <w:t>344000, Россия, Ростовская обл., г. Ростов-на-Дону, ул. Нансена, д. 87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48" w:rsidRPr="008763A8" w:rsidRDefault="006905B9" w:rsidP="001E694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129 719,76</w:t>
            </w:r>
          </w:p>
          <w:p w:rsidR="001E6948" w:rsidRPr="008763A8" w:rsidRDefault="001E6948" w:rsidP="006905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6905B9">
              <w:rPr>
                <w:rFonts w:ascii="Franklin Gothic Book" w:hAnsi="Franklin Gothic Book"/>
                <w:snapToGrid w:val="0"/>
              </w:rPr>
              <w:t>сто двадцать девять тысяч семьсот девятнадцать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6905B9">
              <w:rPr>
                <w:rFonts w:ascii="Franklin Gothic Book" w:hAnsi="Franklin Gothic Book"/>
                <w:snapToGrid w:val="0"/>
              </w:rPr>
              <w:t>76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48" w:rsidRPr="008763A8" w:rsidRDefault="006905B9" w:rsidP="001E694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30 (тридцати) календарных дней с момента подписания двухстороннего договора</w:t>
            </w:r>
          </w:p>
        </w:tc>
      </w:tr>
      <w:tr w:rsidR="00F65ED4" w:rsidRPr="008763A8" w:rsidTr="00853D6D">
        <w:trPr>
          <w:trHeight w:val="113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D4" w:rsidRDefault="00F65ED4" w:rsidP="00F65E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D4" w:rsidRPr="008763A8" w:rsidRDefault="00F65ED4" w:rsidP="00F65E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ED4">
              <w:rPr>
                <w:rFonts w:ascii="Franklin Gothic Book" w:hAnsi="Franklin Gothic Book"/>
                <w:b/>
                <w:snapToGrid w:val="0"/>
              </w:rPr>
              <w:t>ООО ТД "РЕСУРС"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65ED4" w:rsidRPr="008763A8" w:rsidRDefault="00F65ED4" w:rsidP="00F65ED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65ED4">
              <w:rPr>
                <w:rFonts w:ascii="Franklin Gothic Book" w:hAnsi="Franklin Gothic Book"/>
                <w:snapToGrid w:val="0"/>
              </w:rPr>
              <w:t>344022, Россия, Ростовская обл., г. Ростов-на-Дону, пер. Университетский, д. 32, лит. А, оф. 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D4" w:rsidRPr="008763A8" w:rsidRDefault="00F65ED4" w:rsidP="00F65E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149 612,20</w:t>
            </w:r>
          </w:p>
          <w:p w:rsidR="00F65ED4" w:rsidRPr="008763A8" w:rsidRDefault="00F65ED4" w:rsidP="0099688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сто сорок девять тысяч шестьсот </w:t>
            </w:r>
            <w:r w:rsidR="00996885">
              <w:rPr>
                <w:rFonts w:ascii="Franklin Gothic Book" w:hAnsi="Franklin Gothic Book"/>
                <w:snapToGrid w:val="0"/>
              </w:rPr>
              <w:t>двенадцать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96885">
              <w:rPr>
                <w:rFonts w:ascii="Franklin Gothic Book" w:hAnsi="Franklin Gothic Book"/>
                <w:snapToGrid w:val="0"/>
              </w:rPr>
              <w:t>20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D4" w:rsidRPr="008763A8" w:rsidRDefault="00996885" w:rsidP="00F65E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 с даты подписания договора</w:t>
            </w:r>
          </w:p>
        </w:tc>
      </w:tr>
    </w:tbl>
    <w:p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211105" w:rsidRPr="00211105" w:rsidRDefault="00147EE9" w:rsidP="00211105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211105">
        <w:rPr>
          <w:rFonts w:ascii="Franklin Gothic Book" w:hAnsi="Franklin Gothic Book"/>
        </w:rPr>
        <w:t>Заявка</w:t>
      </w:r>
      <w:r w:rsidRPr="00211105">
        <w:rPr>
          <w:rFonts w:ascii="Franklin Gothic Book" w:hAnsi="Franklin Gothic Book"/>
          <w:b/>
          <w:snapToGrid w:val="0"/>
        </w:rPr>
        <w:t xml:space="preserve"> </w:t>
      </w:r>
      <w:r w:rsidR="00211105" w:rsidRPr="00211105">
        <w:rPr>
          <w:rFonts w:ascii="Franklin Gothic Book" w:hAnsi="Franklin Gothic Book"/>
          <w:b/>
          <w:snapToGrid w:val="0"/>
        </w:rPr>
        <w:t>ООО "ПОДЪЕМТРАНСМАШ"</w:t>
      </w:r>
      <w:r w:rsidRPr="00211105">
        <w:rPr>
          <w:rFonts w:ascii="Franklin Gothic Book" w:hAnsi="Franklin Gothic Book"/>
          <w:b/>
          <w:snapToGrid w:val="0"/>
        </w:rPr>
        <w:t xml:space="preserve"> </w:t>
      </w:r>
      <w:r w:rsidR="00211105" w:rsidRPr="00211105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4360F1" w:rsidRPr="004560B3" w:rsidRDefault="004360F1" w:rsidP="004360F1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4360F1" w:rsidRPr="00C41A4B" w:rsidRDefault="004360F1" w:rsidP="004360F1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4360F1" w:rsidRPr="00FD2947" w:rsidRDefault="004360F1" w:rsidP="004360F1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4360F1" w:rsidRDefault="004360F1" w:rsidP="004360F1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4360F1" w:rsidRPr="00FD67B4" w:rsidRDefault="004360F1" w:rsidP="004360F1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4360F1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4360F1" w:rsidRPr="00183D24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4360F1" w:rsidRPr="00F63C84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4360F1" w:rsidRPr="00F63C84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4360F1" w:rsidRPr="00F63C84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4360F1" w:rsidRPr="00183D24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lastRenderedPageBreak/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4360F1" w:rsidRPr="00F63C84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действует ино</w:t>
      </w:r>
      <w:r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4360F1" w:rsidRDefault="004360F1" w:rsidP="004360F1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4360F1" w:rsidRDefault="004360F1" w:rsidP="004360F1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>ешение об одобрении и</w:t>
      </w:r>
      <w:r>
        <w:rPr>
          <w:rFonts w:ascii="Franklin Gothic Book" w:hAnsi="Franklin Gothic Book"/>
        </w:rPr>
        <w:t>ли о совершении крупной сделки,</w:t>
      </w:r>
      <w:r w:rsidRPr="009670B7">
        <w:rPr>
          <w:rFonts w:ascii="Franklin Gothic Book" w:hAnsi="Franklin Gothic Book"/>
        </w:rPr>
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</w:t>
      </w:r>
      <w:r>
        <w:rPr>
          <w:rFonts w:ascii="Franklin Gothic Book" w:hAnsi="Franklin Gothic Book"/>
        </w:rPr>
        <w:t xml:space="preserve">являющихся предметом договора, </w:t>
      </w:r>
      <w:r w:rsidRPr="009670B7">
        <w:rPr>
          <w:rFonts w:ascii="Franklin Gothic Book" w:hAnsi="Franklin Gothic Book"/>
        </w:rPr>
        <w:t xml:space="preserve">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</w:t>
      </w:r>
      <w:r>
        <w:rPr>
          <w:rFonts w:ascii="Franklin Gothic Book" w:hAnsi="Franklin Gothic Book"/>
        </w:rPr>
        <w:t xml:space="preserve"> являющихся предметом договора,</w:t>
      </w:r>
      <w:r w:rsidRPr="009670B7">
        <w:rPr>
          <w:rFonts w:ascii="Franklin Gothic Book" w:hAnsi="Franklin Gothic Book"/>
        </w:rPr>
        <w:t xml:space="preserve">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147EE9" w:rsidRDefault="00147EE9" w:rsidP="00211105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0F3567" w:rsidRDefault="000F3567" w:rsidP="004360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360F1" w:rsidRPr="004360F1">
        <w:rPr>
          <w:rFonts w:ascii="Franklin Gothic Book" w:hAnsi="Franklin Gothic Book"/>
          <w:b/>
          <w:snapToGrid w:val="0"/>
        </w:rPr>
        <w:t>ООО "СЕВМОРМОНТАЖ"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60F1" w:rsidRDefault="004360F1" w:rsidP="004360F1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4360F1" w:rsidRDefault="004360F1" w:rsidP="004360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360F1">
        <w:rPr>
          <w:rFonts w:ascii="Franklin Gothic Book" w:hAnsi="Franklin Gothic Book"/>
          <w:b/>
          <w:snapToGrid w:val="0"/>
        </w:rPr>
        <w:t>ООО "ЮГСПЕЦОБОРУДОВАНИЕ"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60F1" w:rsidRPr="004360F1" w:rsidRDefault="004360F1" w:rsidP="004360F1">
      <w:pPr>
        <w:pStyle w:val="ab"/>
        <w:rPr>
          <w:rFonts w:ascii="Franklin Gothic Book" w:hAnsi="Franklin Gothic Book"/>
        </w:rPr>
      </w:pPr>
    </w:p>
    <w:p w:rsidR="004360F1" w:rsidRDefault="004360F1" w:rsidP="004360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360F1">
        <w:rPr>
          <w:rFonts w:ascii="Franklin Gothic Book" w:hAnsi="Franklin Gothic Book"/>
          <w:b/>
          <w:snapToGrid w:val="0"/>
        </w:rPr>
        <w:t>ООО "Рукавичка"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60F1" w:rsidRDefault="004360F1" w:rsidP="004360F1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4360F1" w:rsidRDefault="004360F1" w:rsidP="004360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360F1">
        <w:rPr>
          <w:rFonts w:ascii="Franklin Gothic Book" w:hAnsi="Franklin Gothic Book"/>
          <w:b/>
          <w:snapToGrid w:val="0"/>
        </w:rPr>
        <w:t>ООО ТД "РЕСУРС"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360F1" w:rsidRPr="004360F1" w:rsidRDefault="004360F1" w:rsidP="004360F1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Default="009348B7" w:rsidP="001E6239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348B7">
        <w:rPr>
          <w:rFonts w:ascii="Franklin Gothic Book" w:hAnsi="Franklin Gothic Book"/>
          <w:b/>
          <w:snapToGrid w:val="0"/>
        </w:rPr>
        <w:t>ООО "СЕВМОРМОНТАЖ", ООО "ЮГСПЕЦОБОРУДОВАНИЕ", ООО "Рукавичка", ООО ТД "РЕСУРС"</w:t>
      </w:r>
      <w:r w:rsidR="002B2901" w:rsidRPr="009348B7">
        <w:rPr>
          <w:rFonts w:ascii="Franklin Gothic Book" w:hAnsi="Franklin Gothic Book"/>
          <w:b/>
          <w:snapToGrid w:val="0"/>
        </w:rPr>
        <w:t xml:space="preserve"> </w:t>
      </w:r>
      <w:r w:rsidR="00FC159C" w:rsidRPr="009348B7">
        <w:rPr>
          <w:rFonts w:ascii="Franklin Gothic Book" w:hAnsi="Franklin Gothic Book"/>
        </w:rPr>
        <w:t>допустить к участию в закупке.</w:t>
      </w:r>
    </w:p>
    <w:p w:rsidR="009348B7" w:rsidRPr="009348B7" w:rsidRDefault="009348B7" w:rsidP="009348B7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348B7">
        <w:rPr>
          <w:rFonts w:ascii="Franklin Gothic Book" w:hAnsi="Franklin Gothic Book"/>
          <w:b/>
        </w:rPr>
        <w:t>ООО "ПОДЪЕМТРАНСМАШ"</w:t>
      </w:r>
      <w:r w:rsidRPr="009348B7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</w:t>
      </w:r>
    </w:p>
    <w:p w:rsidR="00FC4908" w:rsidRPr="00915995" w:rsidRDefault="00F03A1B" w:rsidP="0091599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915995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915995">
        <w:rPr>
          <w:rFonts w:ascii="Franklin Gothic Book" w:hAnsi="Franklin Gothic Book"/>
          <w:u w:val="single"/>
        </w:rPr>
        <w:t>единогласное</w:t>
      </w:r>
      <w:r w:rsidRPr="00915995">
        <w:rPr>
          <w:rFonts w:ascii="Franklin Gothic Book" w:hAnsi="Franklin Gothic Book"/>
        </w:rPr>
        <w:t xml:space="preserve"> решение:</w:t>
      </w:r>
      <w:r w:rsidR="0035453D" w:rsidRPr="00915995">
        <w:rPr>
          <w:rFonts w:ascii="Franklin Gothic Book" w:hAnsi="Franklin Gothic Book"/>
        </w:rPr>
        <w:t xml:space="preserve"> </w:t>
      </w:r>
      <w:r w:rsidR="0035453D" w:rsidRPr="00915995">
        <w:rPr>
          <w:rFonts w:ascii="Franklin Gothic Book" w:hAnsi="Franklin Gothic Book"/>
          <w:b/>
        </w:rPr>
        <w:t>п</w:t>
      </w:r>
      <w:r w:rsidR="003C3D52" w:rsidRPr="00915995">
        <w:rPr>
          <w:rFonts w:ascii="Franklin Gothic Book" w:hAnsi="Franklin Gothic Book"/>
          <w:b/>
        </w:rPr>
        <w:t>ризнать победителем</w:t>
      </w:r>
      <w:r w:rsidR="003C3D52" w:rsidRPr="00915995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915995">
        <w:rPr>
          <w:rFonts w:ascii="Franklin Gothic Book" w:hAnsi="Franklin Gothic Book"/>
        </w:rPr>
        <w:t xml:space="preserve">поставку </w:t>
      </w:r>
      <w:r w:rsidR="00FF2D9B" w:rsidRPr="00915995">
        <w:rPr>
          <w:rFonts w:ascii="Franklin Gothic Book" w:hAnsi="Franklin Gothic Book"/>
        </w:rPr>
        <w:t xml:space="preserve">каната ПАТ d-22мм по </w:t>
      </w:r>
      <w:r w:rsidR="00FF2D9B" w:rsidRPr="00915995">
        <w:rPr>
          <w:rFonts w:ascii="Franklin Gothic Book" w:hAnsi="Franklin Gothic Book"/>
        </w:rPr>
        <w:lastRenderedPageBreak/>
        <w:t xml:space="preserve">ТУ-8121-022-00461221-2004, каната ПАТ d-26мм по ТУ-8121-022-00461221-2004 </w:t>
      </w:r>
      <w:r w:rsidR="00481110" w:rsidRPr="00915995">
        <w:rPr>
          <w:rFonts w:ascii="Franklin Gothic Book" w:hAnsi="Franklin Gothic Book"/>
        </w:rPr>
        <w:t>(п. 2.11.2 документации о закупке)</w:t>
      </w:r>
      <w:r w:rsidR="00E427F0" w:rsidRPr="00915995">
        <w:rPr>
          <w:rFonts w:ascii="Franklin Gothic Book" w:hAnsi="Franklin Gothic Book"/>
          <w:b/>
        </w:rPr>
        <w:t xml:space="preserve"> </w:t>
      </w:r>
      <w:r w:rsidR="00915995" w:rsidRPr="00915995">
        <w:rPr>
          <w:rFonts w:ascii="Franklin Gothic Book" w:hAnsi="Franklin Gothic Book"/>
          <w:b/>
          <w:snapToGrid w:val="0"/>
        </w:rPr>
        <w:t>ООО "СЕВМОРМОНТАЖ", 198152, Россия, г. Санкт - Петербург, ул. Новостроек, д. 3, лит. А, пом. 8 Н</w:t>
      </w:r>
      <w:r w:rsidR="006244C5" w:rsidRPr="00915995">
        <w:rPr>
          <w:rFonts w:ascii="Franklin Gothic Book" w:hAnsi="Franklin Gothic Book"/>
        </w:rPr>
        <w:t>,</w:t>
      </w:r>
      <w:r w:rsidR="00462B11" w:rsidRPr="00915995">
        <w:rPr>
          <w:rFonts w:ascii="Franklin Gothic Book" w:hAnsi="Franklin Gothic Book"/>
        </w:rPr>
        <w:t xml:space="preserve"> </w:t>
      </w:r>
      <w:r w:rsidR="003C3D52" w:rsidRPr="00915995">
        <w:rPr>
          <w:rFonts w:ascii="Franklin Gothic Book" w:hAnsi="Franklin Gothic Book"/>
        </w:rPr>
        <w:t xml:space="preserve">с ценой коммерческого </w:t>
      </w:r>
      <w:r w:rsidR="006A1157" w:rsidRPr="00915995">
        <w:rPr>
          <w:rFonts w:ascii="Franklin Gothic Book" w:hAnsi="Franklin Gothic Book"/>
        </w:rPr>
        <w:t>предложения</w:t>
      </w:r>
      <w:r w:rsidR="003C3D52" w:rsidRPr="00915995">
        <w:rPr>
          <w:rFonts w:ascii="Franklin Gothic Book" w:hAnsi="Franklin Gothic Book"/>
        </w:rPr>
        <w:t xml:space="preserve"> </w:t>
      </w:r>
      <w:r w:rsidR="00A36465" w:rsidRPr="00915995">
        <w:rPr>
          <w:rFonts w:ascii="Franklin Gothic Book" w:hAnsi="Franklin Gothic Book"/>
        </w:rPr>
        <w:t>–</w:t>
      </w:r>
      <w:r w:rsidR="0002339F" w:rsidRPr="00915995">
        <w:rPr>
          <w:rFonts w:ascii="Franklin Gothic Book" w:hAnsi="Franklin Gothic Book"/>
        </w:rPr>
        <w:t xml:space="preserve"> </w:t>
      </w:r>
      <w:r w:rsidR="00915995" w:rsidRPr="00915995">
        <w:rPr>
          <w:rFonts w:ascii="Franklin Gothic Book" w:hAnsi="Franklin Gothic Book"/>
          <w:b/>
          <w:snapToGrid w:val="0"/>
        </w:rPr>
        <w:t>124 973,80 (сто двадцать четыре тысячи девятьсот семьдесят три) рубля 80 копеек с учетом НДС</w:t>
      </w:r>
      <w:r w:rsidR="003C3D52" w:rsidRPr="00915995">
        <w:rPr>
          <w:rFonts w:ascii="Franklin Gothic Book" w:hAnsi="Franklin Gothic Book"/>
        </w:rPr>
        <w:t xml:space="preserve">, сроком </w:t>
      </w:r>
      <w:r w:rsidR="00883606" w:rsidRPr="00915995">
        <w:rPr>
          <w:rFonts w:ascii="Franklin Gothic Book" w:hAnsi="Franklin Gothic Book"/>
        </w:rPr>
        <w:t>поставки</w:t>
      </w:r>
      <w:r w:rsidR="003C3D52" w:rsidRPr="00915995">
        <w:rPr>
          <w:rFonts w:ascii="Franklin Gothic Book" w:hAnsi="Franklin Gothic Book"/>
        </w:rPr>
        <w:t xml:space="preserve"> –</w:t>
      </w:r>
      <w:r w:rsidR="00DE3B83" w:rsidRPr="00915995">
        <w:rPr>
          <w:rFonts w:ascii="Franklin Gothic Book" w:hAnsi="Franklin Gothic Book"/>
        </w:rPr>
        <w:t xml:space="preserve"> </w:t>
      </w:r>
      <w:r w:rsidR="00915995" w:rsidRPr="00915995">
        <w:rPr>
          <w:rFonts w:ascii="Franklin Gothic Book" w:hAnsi="Franklin Gothic Book"/>
          <w:snapToGrid w:val="0"/>
        </w:rPr>
        <w:t>30 (тридцать) календарных дней</w:t>
      </w:r>
      <w:r w:rsidR="001622C9" w:rsidRPr="00915995">
        <w:rPr>
          <w:rFonts w:ascii="Franklin Gothic Book" w:hAnsi="Franklin Gothic Book"/>
        </w:rPr>
        <w:t>.</w:t>
      </w:r>
    </w:p>
    <w:p w:rsidR="003C3D52" w:rsidRPr="002B2901" w:rsidRDefault="003C3D52" w:rsidP="00075C54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915995" w:rsidRPr="00915995">
        <w:rPr>
          <w:rFonts w:ascii="Franklin Gothic Book" w:hAnsi="Franklin Gothic Book"/>
          <w:b/>
          <w:snapToGrid w:val="0"/>
        </w:rPr>
        <w:t>ООО "Рукавичка",</w:t>
      </w:r>
      <w:r w:rsidR="00915995">
        <w:rPr>
          <w:rFonts w:ascii="Franklin Gothic Book" w:hAnsi="Franklin Gothic Book"/>
          <w:b/>
          <w:snapToGrid w:val="0"/>
        </w:rPr>
        <w:t xml:space="preserve"> </w:t>
      </w:r>
      <w:r w:rsidR="00915995" w:rsidRPr="00915995">
        <w:rPr>
          <w:rFonts w:ascii="Franklin Gothic Book" w:hAnsi="Franklin Gothic Book"/>
          <w:b/>
          <w:snapToGrid w:val="0"/>
        </w:rPr>
        <w:t>344000, Россия, Ростовская обл., г. Ростов-на-Дону, ул. Нансена, д. 87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075C54" w:rsidRPr="00075C54">
        <w:rPr>
          <w:rFonts w:ascii="Franklin Gothic Book" w:hAnsi="Franklin Gothic Book"/>
          <w:b/>
          <w:snapToGrid w:val="0"/>
        </w:rPr>
        <w:t>149 612,20</w:t>
      </w:r>
      <w:r w:rsidR="00075C54">
        <w:rPr>
          <w:rFonts w:ascii="Franklin Gothic Book" w:hAnsi="Franklin Gothic Book"/>
          <w:b/>
          <w:snapToGrid w:val="0"/>
        </w:rPr>
        <w:t xml:space="preserve"> </w:t>
      </w:r>
      <w:r w:rsidR="00075C54" w:rsidRPr="00075C54">
        <w:rPr>
          <w:rFonts w:ascii="Franklin Gothic Book" w:hAnsi="Franklin Gothic Book"/>
          <w:b/>
          <w:snapToGrid w:val="0"/>
        </w:rPr>
        <w:t>(сто сорок девять тысяч шестьсот двенадцать) рублей 20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075C54">
        <w:rPr>
          <w:rFonts w:ascii="Franklin Gothic Book" w:hAnsi="Franklin Gothic Book"/>
        </w:rPr>
        <w:t>в</w:t>
      </w:r>
      <w:r w:rsidR="00075C54" w:rsidRPr="00075C54">
        <w:rPr>
          <w:rFonts w:ascii="Franklin Gothic Book" w:hAnsi="Franklin Gothic Book"/>
        </w:rPr>
        <w:t xml:space="preserve"> течении 30 (тридцати) календарных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 w:rsidR="00DB31B3">
        <w:rPr>
          <w:rFonts w:ascii="Franklin Gothic Book" w:hAnsi="Franklin Gothic Book"/>
          <w:bCs/>
          <w:iCs/>
        </w:rPr>
        <w:t xml:space="preserve"> сопровождению бизнеса</w:t>
      </w:r>
      <w:r w:rsidR="00DB31B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075C54">
        <w:rPr>
          <w:rFonts w:ascii="Franklin Gothic Book" w:hAnsi="Franklin Gothic Book"/>
          <w:bCs/>
          <w:iCs/>
        </w:rPr>
        <w:t>А</w:t>
      </w:r>
      <w:r>
        <w:rPr>
          <w:rFonts w:ascii="Franklin Gothic Book" w:hAnsi="Franklin Gothic Book"/>
          <w:bCs/>
          <w:iCs/>
        </w:rPr>
        <w:t>.</w:t>
      </w:r>
      <w:r w:rsidR="00075C54">
        <w:rPr>
          <w:rFonts w:ascii="Franklin Gothic Book" w:hAnsi="Franklin Gothic Book"/>
          <w:bCs/>
          <w:iCs/>
        </w:rPr>
        <w:t>В</w:t>
      </w:r>
      <w:r>
        <w:rPr>
          <w:rFonts w:ascii="Franklin Gothic Book" w:hAnsi="Franklin Gothic Book"/>
          <w:bCs/>
          <w:iCs/>
        </w:rPr>
        <w:t xml:space="preserve">. </w:t>
      </w:r>
      <w:r w:rsidR="00075C54">
        <w:rPr>
          <w:rFonts w:ascii="Franklin Gothic Book" w:hAnsi="Franklin Gothic Book"/>
          <w:bCs/>
          <w:iCs/>
        </w:rPr>
        <w:t>Шалаев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431215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Протокол подписан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>12 декабря 2016г.</w:t>
      </w:r>
    </w:p>
    <w:p w:rsidR="003B72AB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075C54" w:rsidRPr="00E36BA5" w:rsidRDefault="00075C54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3B72AB" w:rsidRPr="001B6A4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3B72AB" w:rsidRPr="001B6A4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3B72AB" w:rsidRPr="001B6A45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C54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1E16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8C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48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105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0F1"/>
    <w:rsid w:val="004367DE"/>
    <w:rsid w:val="0043686B"/>
    <w:rsid w:val="00436ECE"/>
    <w:rsid w:val="004370BC"/>
    <w:rsid w:val="00437176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05B9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3D6D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61A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5995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8B7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885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B02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822"/>
    <w:rsid w:val="00E32EF4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14B5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6C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5ED4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3D2"/>
    <w:rsid w:val="00FF27D0"/>
    <w:rsid w:val="00FF2D9B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C5E4-94A6-41C3-BA29-F488E293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4956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164</cp:revision>
  <cp:lastPrinted>2016-12-13T08:31:00Z</cp:lastPrinted>
  <dcterms:created xsi:type="dcterms:W3CDTF">2015-07-24T08:45:00Z</dcterms:created>
  <dcterms:modified xsi:type="dcterms:W3CDTF">2016-12-13T08:31:00Z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