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BE15A2" w:rsidRPr="00BE15A2">
        <w:rPr>
          <w:rFonts w:ascii="Franklin Gothic Book" w:hAnsi="Franklin Gothic Book"/>
          <w:sz w:val="28"/>
          <w:szCs w:val="28"/>
        </w:rPr>
        <w:t>сменно-запасных частей к погрузчику DCE 120-6 вилочный, зав. № А 40200761, бортовой № 195, зав. № А40200761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BE15A2">
        <w:rPr>
          <w:rFonts w:ascii="Franklin Gothic Book" w:hAnsi="Franklin Gothic Book"/>
          <w:sz w:val="28"/>
          <w:szCs w:val="28"/>
        </w:rPr>
        <w:t>15.06</w:t>
      </w:r>
      <w:r>
        <w:rPr>
          <w:rFonts w:ascii="Franklin Gothic Book" w:hAnsi="Franklin Gothic Book"/>
          <w:sz w:val="28"/>
          <w:szCs w:val="28"/>
        </w:rPr>
        <w:t>.20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5C7"/>
    <w:rsid w:val="00764D14"/>
    <w:rsid w:val="00BE15A2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13</cp:revision>
  <dcterms:created xsi:type="dcterms:W3CDTF">2016-05-06T10:25:00Z</dcterms:created>
  <dcterms:modified xsi:type="dcterms:W3CDTF">2016-06-15T11:38:00Z</dcterms:modified>
</cp:coreProperties>
</file>