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0" w:rsidRPr="00C00584" w:rsidRDefault="00EC63BD" w:rsidP="0065723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</w:p>
    <w:p w:rsidR="000E6E40" w:rsidRDefault="000E6E40" w:rsidP="00EC63BD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5A1F97" w:rsidRPr="00C00584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Pr="00C00584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C00584" w:rsidRDefault="00C348D6" w:rsidP="00657230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657230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3E4A2E" w:rsidRDefault="00833670" w:rsidP="0089551C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57230">
              <w:rPr>
                <w:rFonts w:ascii="Franklin Gothic Book" w:eastAsiaTheme="minorHAnsi" w:hAnsi="Franklin Gothic Book" w:cs="Franklin Gothic Book"/>
                <w:lang w:eastAsia="en-US"/>
              </w:rPr>
              <w:t>21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(в соответствии с Планом закупки товаров (работ, услуг) </w:t>
            </w:r>
            <w:r w:rsidR="003355C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ПАО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"НМТП") </w:t>
            </w:r>
            <w:r w:rsidR="00E83FE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</w:p>
          <w:p w:rsidR="004417BD" w:rsidRPr="00BC3AB2" w:rsidRDefault="00657230" w:rsidP="00532C40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Оказание услуг по организации рассылки документов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C00584" w:rsidRDefault="007C64A3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60-40-25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AC2804" w:rsidRDefault="00B97FB9" w:rsidP="00B449D4">
            <w:pPr>
              <w:rPr>
                <w:rFonts w:ascii="Franklin Gothic Book" w:hAnsi="Franklin Gothic Book"/>
              </w:rPr>
            </w:pPr>
            <w:hyperlink r:id="rId6" w:history="1">
              <w:r w:rsidRPr="00B97FB9">
                <w:rPr>
                  <w:rStyle w:val="a5"/>
                  <w:rFonts w:ascii="Franklin Gothic Book" w:hAnsi="Franklin Gothic Book"/>
                </w:rPr>
                <w:t>www.nmtp.info</w:t>
              </w:r>
            </w:hyperlink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C00584" w:rsidRDefault="003355C5" w:rsidP="00E6788D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C00584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Pr="00C00584">
              <w:rPr>
                <w:rFonts w:ascii="Franklin Gothic Book" w:hAnsi="Franklin Gothic Book"/>
              </w:rPr>
              <w:t>40</w:t>
            </w:r>
            <w:r w:rsidRPr="00C00584">
              <w:rPr>
                <w:rFonts w:ascii="Franklin Gothic Book" w:hAnsi="Franklin Gothic Book"/>
                <w:lang w:val="en-US"/>
              </w:rPr>
              <w:t>-</w:t>
            </w:r>
            <w:r w:rsidRPr="00C00584">
              <w:rPr>
                <w:rFonts w:ascii="Franklin Gothic Book" w:hAnsi="Franklin Gothic Book"/>
              </w:rPr>
              <w:t>25</w:t>
            </w:r>
            <w:r w:rsidR="003355C5" w:rsidRPr="00C00584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C00584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C00584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C00584" w:rsidRDefault="003355C5" w:rsidP="00953A3B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C00584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329"/>
              <w:gridCol w:w="3724"/>
              <w:gridCol w:w="1599"/>
              <w:gridCol w:w="1512"/>
            </w:tblGrid>
            <w:tr w:rsidR="00532C40" w:rsidRPr="00FD5068" w:rsidTr="00532C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2C40" w:rsidRPr="00FD5068" w:rsidRDefault="00532C40" w:rsidP="00FD704B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ОКПД</w:t>
                  </w:r>
                  <w:proofErr w:type="gramStart"/>
                  <w:r w:rsidRPr="00FD5068">
                    <w:rPr>
                      <w:rFonts w:ascii="Franklin Gothic Book" w:hAnsi="Franklin Gothic Book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2C40" w:rsidRPr="00FD5068" w:rsidRDefault="00532C40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ОКВЭД</w:t>
                  </w:r>
                  <w:proofErr w:type="gramStart"/>
                  <w:r w:rsidRPr="00FD5068">
                    <w:rPr>
                      <w:rFonts w:ascii="Franklin Gothic Book" w:hAnsi="Franklin Gothic Book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3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2C40" w:rsidRPr="00FD5068" w:rsidRDefault="00532C40" w:rsidP="00C0266F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Наименование товара</w:t>
                  </w:r>
                </w:p>
              </w:tc>
              <w:tc>
                <w:tcPr>
                  <w:tcW w:w="15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2C40" w:rsidRPr="000F1EA3" w:rsidRDefault="00532C40" w:rsidP="000F1EA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C40" w:rsidRPr="000F1EA3" w:rsidRDefault="00532C40" w:rsidP="000F1EA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</w:tr>
            <w:tr w:rsidR="00532C40" w:rsidRPr="00FD5068" w:rsidTr="007F4457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32C40" w:rsidRPr="00532C40" w:rsidRDefault="007F4457" w:rsidP="00A2684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53102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32C40" w:rsidRPr="00532C40" w:rsidRDefault="007F4457" w:rsidP="00A2684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6411010</w:t>
                  </w:r>
                </w:p>
              </w:tc>
              <w:tc>
                <w:tcPr>
                  <w:tcW w:w="3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32C40" w:rsidRPr="00FD5068" w:rsidRDefault="00D24F3A" w:rsidP="00532C40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24F3A">
                    <w:rPr>
                      <w:rFonts w:ascii="Franklin Gothic Book" w:hAnsi="Franklin Gothic Book"/>
                      <w:color w:val="000000"/>
                    </w:rPr>
                    <w:t>Оказание услуг по организации рассылки документов</w:t>
                  </w:r>
                </w:p>
              </w:tc>
              <w:tc>
                <w:tcPr>
                  <w:tcW w:w="15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2C40" w:rsidRPr="00FD5068" w:rsidRDefault="00D24F3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C40" w:rsidRPr="00FD5068" w:rsidRDefault="00D24F3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Ед.</w:t>
                  </w:r>
                </w:p>
              </w:tc>
            </w:tr>
          </w:tbl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D63B75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167404" w:rsidRPr="00167404" w:rsidRDefault="00D63B75" w:rsidP="00167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11.1.1</w:t>
            </w:r>
            <w:r w:rsidR="00167404" w:rsidRPr="00167404">
              <w:rPr>
                <w:rFonts w:ascii="Franklin Gothic Book" w:hAnsi="Franklin Gothic Book"/>
              </w:rPr>
              <w:t xml:space="preserve"> Положения о закупке товаров, работ, услуг ПАО «Новороссийский морской торговый порт»:</w:t>
            </w:r>
          </w:p>
          <w:p w:rsidR="00FD5068" w:rsidRPr="000E6E40" w:rsidRDefault="00D63B75" w:rsidP="00167404">
            <w:pPr>
              <w:jc w:val="both"/>
              <w:rPr>
                <w:rFonts w:ascii="Franklin Gothic Book" w:hAnsi="Franklin Gothic Book"/>
              </w:rPr>
            </w:pPr>
            <w:r w:rsidRPr="00D63B75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</w:t>
            </w:r>
            <w:r>
              <w:rPr>
                <w:rFonts w:ascii="Franklin Gothic Book" w:hAnsi="Franklin Gothic Book"/>
              </w:rPr>
              <w:t>ательством Российской Федерации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C00584" w:rsidRDefault="0051645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 ПАО «НМТП» </w:t>
            </w:r>
          </w:p>
        </w:tc>
      </w:tr>
      <w:tr w:rsidR="00E02CB4" w:rsidRPr="00C00584" w:rsidTr="006B1E7E">
        <w:trPr>
          <w:tblCellSpacing w:w="15" w:type="dxa"/>
        </w:trPr>
        <w:tc>
          <w:tcPr>
            <w:tcW w:w="4497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516458" w:rsidRPr="00516458" w:rsidRDefault="00A019CE" w:rsidP="000E6E40">
            <w:pPr>
              <w:jc w:val="both"/>
              <w:rPr>
                <w:rFonts w:ascii="Franklin Gothic Book" w:hAnsi="Franklin Gothic Book"/>
                <w:bCs/>
              </w:rPr>
            </w:pPr>
            <w:r w:rsidRPr="00A019CE">
              <w:rPr>
                <w:rFonts w:ascii="Franklin Gothic Book" w:hAnsi="Franklin Gothic Book"/>
                <w:bCs/>
              </w:rPr>
              <w:t>499 140,00 (четыреста девяносто девять тысяч сто сорок) рублей 00 копеек с учетом НДС</w:t>
            </w:r>
          </w:p>
        </w:tc>
      </w:tr>
      <w:tr w:rsidR="00CB4EC0" w:rsidRPr="00C00584" w:rsidTr="006B1E7E">
        <w:trPr>
          <w:tblCellSpacing w:w="15" w:type="dxa"/>
        </w:trPr>
        <w:tc>
          <w:tcPr>
            <w:tcW w:w="4497" w:type="dxa"/>
          </w:tcPr>
          <w:p w:rsidR="00CB4EC0" w:rsidRPr="00C00584" w:rsidRDefault="00F12734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</w:t>
            </w:r>
            <w:r w:rsidR="003A3C96" w:rsidRPr="00C00584">
              <w:rPr>
                <w:rFonts w:ascii="Franklin Gothic Book" w:hAnsi="Franklin Gothic Book"/>
              </w:rPr>
              <w:t xml:space="preserve"> </w:t>
            </w:r>
            <w:r w:rsidR="00A019CE">
              <w:rPr>
                <w:rFonts w:ascii="Franklin Gothic Book" w:hAnsi="Franklin Gothic Book"/>
              </w:rPr>
              <w:t>оказания услуг</w:t>
            </w:r>
          </w:p>
        </w:tc>
        <w:tc>
          <w:tcPr>
            <w:tcW w:w="5018" w:type="dxa"/>
          </w:tcPr>
          <w:p w:rsidR="00CB4EC0" w:rsidRPr="00C00584" w:rsidRDefault="00A019CE" w:rsidP="003E4A2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A019CE">
              <w:rPr>
                <w:rFonts w:ascii="Franklin Gothic Book" w:hAnsi="Franklin Gothic Book"/>
              </w:rPr>
              <w:t>первая рассылка - 24.05.2016 г., вторая рассылка -  30.06.2016 г.</w:t>
            </w:r>
          </w:p>
        </w:tc>
      </w:tr>
      <w:tr w:rsidR="00C05A85" w:rsidRPr="00C00584" w:rsidTr="00532C40">
        <w:trPr>
          <w:trHeight w:val="564"/>
          <w:tblCellSpacing w:w="15" w:type="dxa"/>
        </w:trPr>
        <w:tc>
          <w:tcPr>
            <w:tcW w:w="4497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018" w:type="dxa"/>
          </w:tcPr>
          <w:p w:rsidR="00C5467D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Вознаграждение Почтового агента за выполнение поручения Эмитента, предусмотренного разделами 3 и 4 настоящего Договора (организация изготовления и почтовой рассылки документов Акционерам), и за принятие ответственности за надлежащее выполнение обязатель</w:t>
            </w: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>ств Тр</w:t>
            </w:r>
            <w:proofErr w:type="gramEnd"/>
            <w:r w:rsidRPr="00A019CE">
              <w:rPr>
                <w:rFonts w:ascii="Franklin Gothic Book" w:eastAsia="Tahoma" w:hAnsi="Franklin Gothic Book"/>
                <w:kern w:val="144"/>
              </w:rPr>
              <w:t>етьими лицами в соответствии с п. 6.4 настоящего Договора составляет 472 000 (четыреста семьдесят две тысячи) рублей 00 копеек, включая НДС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Расходы Почтового агента включены в размер вознаграждения, предусмотренного настоящим пунктом 7.1 Договора, и считаются возмещенными при полной выплате данного вознаграждения.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 xml:space="preserve">Вознаграждение Почтового агента, предусмотренное настоящим пунктом 7.1 Договора, выплачивается Эмитентом </w:t>
            </w:r>
            <w:bookmarkStart w:id="0" w:name="ТекстовоеПоле42"/>
            <w:r w:rsidRPr="00A019CE">
              <w:rPr>
                <w:rFonts w:ascii="Franklin Gothic Book" w:eastAsia="Tahoma" w:hAnsi="Franklin Gothic Book"/>
                <w:kern w:val="144"/>
              </w:rPr>
              <w:t xml:space="preserve">в течение 10 (десяти) рабочих дней </w:t>
            </w: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>с даты выставления</w:t>
            </w:r>
            <w:proofErr w:type="gramEnd"/>
            <w:r w:rsidRPr="00A019CE">
              <w:rPr>
                <w:rFonts w:ascii="Franklin Gothic Book" w:eastAsia="Tahoma" w:hAnsi="Franklin Gothic Book"/>
                <w:kern w:val="144"/>
              </w:rPr>
              <w:t xml:space="preserve"> Почтовым агентом счета на оплату вознаграждения.</w:t>
            </w:r>
            <w:bookmarkEnd w:id="0"/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Вознаграждение Почтового агента за выполнение поручения Эмитента, предусмотренного разделом 2 Бланка заказа на рассылку (направление Номинальным держателям Электронных материалов) определяется в следующем порядке: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 xml:space="preserve">вознаграждение Почтового агента за формирование предоставленной Эмитентом информации, содержащейся в бюллетенях для голосования и необходимой для подготовки Номинальным держателем </w:t>
            </w:r>
            <w:r w:rsidRPr="00A019CE">
              <w:rPr>
                <w:rFonts w:ascii="Franklin Gothic Book" w:eastAsia="Tahoma" w:hAnsi="Franklin Gothic Book"/>
                <w:kern w:val="144"/>
              </w:rPr>
              <w:lastRenderedPageBreak/>
              <w:t xml:space="preserve">Документа о голосовании, в формат, согласованный Номинальным держателем в соответствии с абзацем вторым п.2.1 настоящего Бланка заказа на рассылку, составляет 15 340 (пятнадцать тысяч триста сорок) рублей 00 копеек, включая НДС. </w:t>
            </w:r>
            <w:proofErr w:type="gramEnd"/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Кроме того: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при направлении в одну календарную дату (Дату рассылки) файлов, содержащих Электронные материалы, 5 900 (пять тысяч девятьсот) рублей 00 копеек, включая НДС.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В случае</w:t>
            </w: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>,</w:t>
            </w:r>
            <w:proofErr w:type="gramEnd"/>
            <w:r w:rsidRPr="00A019CE">
              <w:rPr>
                <w:rFonts w:ascii="Franklin Gothic Book" w:eastAsia="Tahoma" w:hAnsi="Franklin Gothic Book"/>
                <w:kern w:val="144"/>
              </w:rPr>
              <w:t xml:space="preserve"> если Дата рассылки Электронных материалов определяется несколькими календарными датами, вознаграждение, в размере, указанном в настоящем пункте Договора, уплачивается за каждую такую Дату рассылки.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 xml:space="preserve">Расходы Почтового агента включены в размер вознаграждения, предусмотренного настоящим пунктом 7.2 Договора, и считаются возмещенными при полной выплате данного вознаграждения, за исключением расходов, понесенных Почтовым агентом для исполнения поручения Эмитента в порядке, предусмотренном пунктом 5.10 настоящего Договора. Расходы, понесенные Почтовым агентом для исполнения поручения Эмитента в порядке, предусмотренном пунктом 5.10 настоящего Договора, подлежат возмещению Почтовому агенту сверх вознаграждения, предусмотренного настоящим пунктом 7.2 Договора, в течение 10 (десяти) рабочих дней </w:t>
            </w: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>с даты выставления</w:t>
            </w:r>
            <w:proofErr w:type="gramEnd"/>
            <w:r w:rsidRPr="00A019CE">
              <w:rPr>
                <w:rFonts w:ascii="Franklin Gothic Book" w:eastAsia="Tahoma" w:hAnsi="Franklin Gothic Book"/>
                <w:kern w:val="144"/>
              </w:rPr>
              <w:t xml:space="preserve"> Почтовым агентом счета на оплату данных расходов.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 xml:space="preserve">Вознаграждение Почтового агента, предусмотренное настоящим пунктом 7.2 Договора, выплачивается Эмитентом в течение 10 (десяти) рабочих дней </w:t>
            </w: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>с даты выставления</w:t>
            </w:r>
            <w:proofErr w:type="gramEnd"/>
            <w:r w:rsidRPr="00A019CE">
              <w:rPr>
                <w:rFonts w:ascii="Franklin Gothic Book" w:eastAsia="Tahoma" w:hAnsi="Franklin Gothic Book"/>
                <w:kern w:val="144"/>
              </w:rPr>
              <w:t xml:space="preserve"> Почтовым агентом счета на оплату вознаграждения.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Если в настоящем Договоре денежные суммы, подлежащие перечислению Почтовому агенту, определены без учета НДС, Эмитент помимо указанных денежных сумм одновременно с ними перечисляет Почтовому агенту сумму НДС.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 xml:space="preserve">Предусмотренные Договором денежные суммы перечисляются Почтовому агенту в российских рублях в безналичном порядке путем перечисления денежных средств на расчетный счет Почтового агента, определенный в настоящем Договоре. 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lastRenderedPageBreak/>
              <w:t>Датой перечисления денежных средств Почтовому агенту признается дата их зачисления на расчетный счет Почтового агента, определенный в настоящем Договоре. При этом Эмитент не несет ответственность за ненадлежащее исполнение обязательств по перечислению Почтовому агенту денежных сре</w:t>
            </w:r>
            <w:proofErr w:type="gramStart"/>
            <w:r w:rsidRPr="00A019CE">
              <w:rPr>
                <w:rFonts w:ascii="Franklin Gothic Book" w:eastAsia="Tahoma" w:hAnsi="Franklin Gothic Book"/>
                <w:kern w:val="144"/>
              </w:rPr>
              <w:t>дств в сл</w:t>
            </w:r>
            <w:proofErr w:type="gramEnd"/>
            <w:r w:rsidRPr="00A019CE">
              <w:rPr>
                <w:rFonts w:ascii="Franklin Gothic Book" w:eastAsia="Tahoma" w:hAnsi="Franklin Gothic Book"/>
                <w:kern w:val="144"/>
              </w:rPr>
              <w:t xml:space="preserve">учае их не зачисления на расчетный счет по вине Почтового агента или банка обслуживающего расчетный счет Почтового агента.  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>При нарушении Эмитентом сроков перечисления денежных средств Почтовому агенту или перечислении их в меньшем размере, Почтовый агент вправе поступающие денежные суммы засчитывать, в первую очередь, в погашение наиболее ранней задолженности Эмитента по Договору, вне зависимости от назначения платежа, указанного в платежном документе Эмитента.</w:t>
            </w:r>
          </w:p>
          <w:p w:rsidR="00A019CE" w:rsidRPr="00A019CE" w:rsidRDefault="00A019CE" w:rsidP="00A019C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A019CE">
              <w:rPr>
                <w:rFonts w:ascii="Franklin Gothic Book" w:eastAsia="Tahoma" w:hAnsi="Franklin Gothic Book"/>
                <w:kern w:val="144"/>
              </w:rPr>
              <w:t xml:space="preserve">Эмитент вправе досрочно (до наступления сроков оплаты, предусмотренных настоящим Договором) перечислить Почтовому агенту вознаграждение и сумму Расходов Почтового агента. При этом проценты за пользование чужими денежными средствами не начисляются. </w:t>
            </w:r>
          </w:p>
          <w:p w:rsidR="00C05A85" w:rsidRPr="00516458" w:rsidRDefault="00C05A85" w:rsidP="00ED0B38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C00584">
              <w:rPr>
                <w:rFonts w:ascii="Franklin Gothic Book" w:hAnsi="Franklin Gothic Book"/>
              </w:rPr>
              <w:t>установлен</w:t>
            </w:r>
            <w:proofErr w:type="gramEnd"/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9D730D" w:rsidRPr="00167404" w:rsidRDefault="007C64A3" w:rsidP="009816D0">
            <w:pPr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15:00 по Московскому времени </w:t>
            </w:r>
          </w:p>
          <w:p w:rsidR="003355C5" w:rsidRPr="00C00584" w:rsidRDefault="00A019CE" w:rsidP="009816D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  <w:r w:rsidR="004417BD">
              <w:rPr>
                <w:rFonts w:ascii="Franklin Gothic Book" w:hAnsi="Franklin Gothic Book"/>
              </w:rPr>
              <w:t>.05</w:t>
            </w:r>
            <w:r w:rsidR="003F1748" w:rsidRPr="00C00584">
              <w:rPr>
                <w:rFonts w:ascii="Franklin Gothic Book" w:hAnsi="Franklin Gothic Book"/>
              </w:rPr>
              <w:t>.201</w:t>
            </w:r>
            <w:r w:rsidR="00290D72" w:rsidRPr="00C00584">
              <w:rPr>
                <w:rFonts w:ascii="Franklin Gothic Book" w:hAnsi="Franklin Gothic Book"/>
              </w:rPr>
              <w:t>6</w:t>
            </w:r>
            <w:r w:rsidR="003F1748" w:rsidRPr="00C00584">
              <w:rPr>
                <w:rFonts w:ascii="Franklin Gothic Book" w:hAnsi="Franklin Gothic Book"/>
              </w:rPr>
              <w:t>г.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Реквизиты счета ПАО «НМТП» для перечисления обеспечения заявки на </w:t>
            </w:r>
            <w:r w:rsidRPr="00C00584">
              <w:rPr>
                <w:rFonts w:ascii="Franklin Gothic Book" w:hAnsi="Franklin Gothic Book"/>
                <w:bCs/>
              </w:rPr>
              <w:lastRenderedPageBreak/>
              <w:t>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C00584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C00584" w:rsidRDefault="00EC1E37" w:rsidP="002359F7">
      <w:pPr>
        <w:rPr>
          <w:rFonts w:ascii="Franklin Gothic Book" w:hAnsi="Franklin Gothic Book"/>
          <w:bCs/>
          <w:iCs/>
        </w:rPr>
      </w:pPr>
    </w:p>
    <w:p w:rsidR="007E7E3F" w:rsidRP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930C5B" w:rsidRPr="00930C5B" w:rsidRDefault="00930C5B" w:rsidP="00930C5B">
      <w:pPr>
        <w:rPr>
          <w:rFonts w:ascii="Franklin Gothic Book" w:hAnsi="Franklin Gothic Book"/>
          <w:bCs/>
          <w:iCs/>
        </w:rPr>
      </w:pPr>
      <w:bookmarkStart w:id="1" w:name="_GoBack"/>
      <w:bookmarkEnd w:id="1"/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</w:p>
    <w:sectPr w:rsidR="003869EC" w:rsidRPr="00C00584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8"/>
  </w:num>
  <w:num w:numId="7">
    <w:abstractNumId w:val="14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0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7"/>
  </w:num>
  <w:num w:numId="21">
    <w:abstractNumId w:val="4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3F09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C3354"/>
    <w:rsid w:val="000E4E9A"/>
    <w:rsid w:val="000E6E40"/>
    <w:rsid w:val="000F1EA3"/>
    <w:rsid w:val="00102A8A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67404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90D72"/>
    <w:rsid w:val="002A0343"/>
    <w:rsid w:val="002A08BC"/>
    <w:rsid w:val="002A2B3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510F"/>
    <w:rsid w:val="002F595B"/>
    <w:rsid w:val="002F6287"/>
    <w:rsid w:val="00302EEF"/>
    <w:rsid w:val="00320E4E"/>
    <w:rsid w:val="0032241B"/>
    <w:rsid w:val="00325FFA"/>
    <w:rsid w:val="003351F3"/>
    <w:rsid w:val="003355C5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71C1"/>
    <w:rsid w:val="004B108C"/>
    <w:rsid w:val="004B29BA"/>
    <w:rsid w:val="004B5F26"/>
    <w:rsid w:val="004C268D"/>
    <w:rsid w:val="004C383E"/>
    <w:rsid w:val="004C7E92"/>
    <w:rsid w:val="004E60EB"/>
    <w:rsid w:val="004E7C46"/>
    <w:rsid w:val="004F0C6C"/>
    <w:rsid w:val="004F2749"/>
    <w:rsid w:val="004F4F55"/>
    <w:rsid w:val="005002AC"/>
    <w:rsid w:val="00501434"/>
    <w:rsid w:val="00502357"/>
    <w:rsid w:val="00504AAF"/>
    <w:rsid w:val="00512E7E"/>
    <w:rsid w:val="00516458"/>
    <w:rsid w:val="005259DD"/>
    <w:rsid w:val="00532C40"/>
    <w:rsid w:val="00542A99"/>
    <w:rsid w:val="00543C0F"/>
    <w:rsid w:val="00551A53"/>
    <w:rsid w:val="0057037C"/>
    <w:rsid w:val="00570912"/>
    <w:rsid w:val="00574DD7"/>
    <w:rsid w:val="005818CF"/>
    <w:rsid w:val="00584F78"/>
    <w:rsid w:val="005864B6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3BE0"/>
    <w:rsid w:val="0064330B"/>
    <w:rsid w:val="00651894"/>
    <w:rsid w:val="00654CED"/>
    <w:rsid w:val="00657230"/>
    <w:rsid w:val="00660089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24166"/>
    <w:rsid w:val="00731FE9"/>
    <w:rsid w:val="00735246"/>
    <w:rsid w:val="007524EF"/>
    <w:rsid w:val="00754E79"/>
    <w:rsid w:val="00756CA6"/>
    <w:rsid w:val="00757FCE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7E7E3F"/>
    <w:rsid w:val="007F4457"/>
    <w:rsid w:val="008045F6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61CE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A2902"/>
    <w:rsid w:val="009B36ED"/>
    <w:rsid w:val="009B4326"/>
    <w:rsid w:val="009B5E40"/>
    <w:rsid w:val="009B64B7"/>
    <w:rsid w:val="009B7739"/>
    <w:rsid w:val="009C49DF"/>
    <w:rsid w:val="009D31B1"/>
    <w:rsid w:val="009D730D"/>
    <w:rsid w:val="009D7BCE"/>
    <w:rsid w:val="009E2E2A"/>
    <w:rsid w:val="009E7C95"/>
    <w:rsid w:val="009F0C90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7E26"/>
    <w:rsid w:val="00A92309"/>
    <w:rsid w:val="00AA0CB1"/>
    <w:rsid w:val="00AA5F78"/>
    <w:rsid w:val="00AB3DB1"/>
    <w:rsid w:val="00AB4120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700E1"/>
    <w:rsid w:val="00B877E1"/>
    <w:rsid w:val="00B911F9"/>
    <w:rsid w:val="00B97FB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53767"/>
    <w:rsid w:val="00D563C9"/>
    <w:rsid w:val="00D63B75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C3E93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24EFD"/>
    <w:rsid w:val="00E4390A"/>
    <w:rsid w:val="00E558D5"/>
    <w:rsid w:val="00E6127E"/>
    <w:rsid w:val="00E64785"/>
    <w:rsid w:val="00E71199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1E37"/>
    <w:rsid w:val="00EC47F7"/>
    <w:rsid w:val="00EC63BD"/>
    <w:rsid w:val="00ED0B38"/>
    <w:rsid w:val="00ED163C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181</cp:revision>
  <cp:lastPrinted>2016-05-05T12:39:00Z</cp:lastPrinted>
  <dcterms:created xsi:type="dcterms:W3CDTF">2015-09-04T09:39:00Z</dcterms:created>
  <dcterms:modified xsi:type="dcterms:W3CDTF">2016-05-19T13:02:00Z</dcterms:modified>
</cp:coreProperties>
</file>