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57501" w:rsidRDefault="00957501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197408" w:rsidRP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УТВЕРЖДАЮ </w:t>
      </w:r>
    </w:p>
    <w:p w:rsid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    Председатель Конкурсной комиссии </w:t>
      </w:r>
    </w:p>
    <w:p w:rsidR="00957501" w:rsidRPr="00197408" w:rsidRDefault="00957501" w:rsidP="00197408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>______________ С.Х. Батов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B63412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B63412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FD3905" w:rsidP="00B63412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197408">
              <w:rPr>
                <w:rFonts w:ascii="Franklin Gothic Book" w:eastAsiaTheme="minorHAnsi" w:hAnsi="Franklin Gothic Book" w:cs="Franklin Gothic Book"/>
                <w:lang w:eastAsia="en-US"/>
              </w:rPr>
              <w:t>1</w:t>
            </w:r>
            <w:r w:rsidR="00B63412"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B63412">
              <w:rPr>
                <w:rFonts w:ascii="Franklin Gothic Book" w:hAnsi="Franklin Gothic Book"/>
                <w:szCs w:val="22"/>
              </w:rPr>
              <w:t>Разработка З</w:t>
            </w:r>
            <w:r w:rsidR="00B63412" w:rsidRPr="00B63412">
              <w:rPr>
                <w:rFonts w:ascii="Franklin Gothic Book" w:hAnsi="Franklin Gothic Book"/>
                <w:szCs w:val="22"/>
              </w:rPr>
              <w:t>аключени</w:t>
            </w:r>
            <w:r w:rsidR="00B63412">
              <w:rPr>
                <w:rFonts w:ascii="Franklin Gothic Book" w:hAnsi="Franklin Gothic Book"/>
                <w:szCs w:val="22"/>
              </w:rPr>
              <w:t>я</w:t>
            </w:r>
            <w:r w:rsidR="00B63412" w:rsidRPr="00B63412">
              <w:rPr>
                <w:rFonts w:ascii="Franklin Gothic Book" w:hAnsi="Franklin Gothic Book"/>
                <w:szCs w:val="22"/>
              </w:rPr>
              <w:t xml:space="preserve"> о возможности эксплуатации грузоподъёмных механизмов «Liebherr» LH 150M и Liebherr LHM280 на причале №3 Восточного пирса ПАО «НМТП» и о возможности корректировки назначения причала»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B63412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B63412" w:rsidRPr="00B63412" w:rsidRDefault="00B63412" w:rsidP="00B63412">
            <w:pPr>
              <w:jc w:val="both"/>
              <w:rPr>
                <w:rFonts w:ascii="Franklin Gothic Book" w:hAnsi="Franklin Gothic Book"/>
              </w:rPr>
            </w:pPr>
            <w:r w:rsidRPr="00B63412">
              <w:rPr>
                <w:rFonts w:ascii="Franklin Gothic Book" w:hAnsi="Franklin Gothic Book"/>
              </w:rPr>
              <w:t>Подрядчик обязуется собственными силами и средствами по заданию Заказчика    «Разработать Заключение о возможности эксплуатации грузоподъёмных механизмов «Liebherr» LH 150M и Liebherr LHM280 на причале №3 Восточного пирса ПАО «НМТП» и о возможности корректировки назначения причала», согласно Техническому заданию (Приложение №1), а Заказчик обязуется принять и оплатить  результат.</w:t>
            </w:r>
          </w:p>
          <w:p w:rsidR="009927B8" w:rsidRPr="00291CD6" w:rsidRDefault="00B63412" w:rsidP="00B63412">
            <w:pPr>
              <w:jc w:val="both"/>
              <w:rPr>
                <w:rFonts w:ascii="Franklin Gothic Book" w:hAnsi="Franklin Gothic Book"/>
              </w:rPr>
            </w:pPr>
            <w:r w:rsidRPr="00B63412">
              <w:rPr>
                <w:rFonts w:ascii="Franklin Gothic Book" w:hAnsi="Franklin Gothic Book"/>
              </w:rPr>
              <w:t>1.2.</w:t>
            </w:r>
            <w:r w:rsidRPr="00B63412">
              <w:rPr>
                <w:rFonts w:ascii="Franklin Gothic Book" w:hAnsi="Franklin Gothic Book"/>
              </w:rPr>
              <w:tab/>
              <w:t>Содержание, технические и другие требования к  работам изложены в Техническом задании (Приложение №1), являющемся неотъемлемой частью настоящего договора.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197408" w:rsidRPr="00197408" w:rsidRDefault="00B63412" w:rsidP="0019740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11.1.4</w:t>
            </w:r>
            <w:r w:rsidR="00197408" w:rsidRPr="00197408">
              <w:rPr>
                <w:rFonts w:ascii="Franklin Gothic Book" w:hAnsi="Franklin Gothic Book"/>
              </w:rPr>
              <w:t xml:space="preserve"> Положения о закупке товаров, работ, услуг ОАО «Новороссийский морской торговый порт»:</w:t>
            </w:r>
          </w:p>
          <w:p w:rsidR="005D0FDC" w:rsidRPr="005D0FDC" w:rsidRDefault="00B63412" w:rsidP="00197408">
            <w:pPr>
              <w:pStyle w:val="OP111"/>
              <w:numPr>
                <w:ilvl w:val="0"/>
                <w:numId w:val="0"/>
              </w:numPr>
            </w:pPr>
            <w:r w:rsidRPr="00B63412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197408" w:rsidRDefault="00B63412" w:rsidP="00A46267">
            <w:pPr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  <w:szCs w:val="22"/>
              </w:rPr>
              <w:t>Причал №3 Восточного пирса ПАО «НМТП»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B63412" w:rsidP="00D67143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B63412">
              <w:rPr>
                <w:rFonts w:ascii="Franklin Gothic Book" w:hAnsi="Franklin Gothic Book"/>
              </w:rPr>
              <w:t>485 261,78 (четыреста восемьдесят пять тысяч двести шестьдесят один) руб. 78 коп</w:t>
            </w:r>
            <w:proofErr w:type="gramStart"/>
            <w:r w:rsidRPr="00B63412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 xml:space="preserve">, </w:t>
            </w:r>
            <w:proofErr w:type="gramEnd"/>
            <w:r>
              <w:rPr>
                <w:rFonts w:ascii="Franklin Gothic Book" w:hAnsi="Franklin Gothic Book"/>
              </w:rPr>
              <w:t xml:space="preserve">в </w:t>
            </w:r>
            <w:proofErr w:type="spellStart"/>
            <w:r>
              <w:rPr>
                <w:rFonts w:ascii="Franklin Gothic Book" w:hAnsi="Franklin Gothic Book"/>
              </w:rPr>
              <w:t>т.ч</w:t>
            </w:r>
            <w:proofErr w:type="spellEnd"/>
            <w:r>
              <w:rPr>
                <w:rFonts w:ascii="Franklin Gothic Book" w:hAnsi="Franklin Gothic Book"/>
              </w:rPr>
              <w:t xml:space="preserve">. НДС </w:t>
            </w:r>
            <w:r w:rsidRPr="00B63412">
              <w:rPr>
                <w:rFonts w:ascii="Franklin Gothic Book" w:hAnsi="Franklin Gothic Book"/>
              </w:rPr>
              <w:t>74 022,98 (семьдесят четыре тысячи двадцать два) руб. 98 коп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характеристикам товара, работы, услуги, к их безопасности, к функциональным характеристикам (потребительским </w:t>
            </w:r>
            <w:r w:rsidRPr="003B3335">
              <w:rPr>
                <w:rFonts w:ascii="Franklin Gothic Book" w:hAnsi="Franklin Gothic Book"/>
              </w:rPr>
              <w:lastRenderedPageBreak/>
              <w:t>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957501" w:rsidRDefault="00B63412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B63412">
              <w:rPr>
                <w:rFonts w:ascii="Franklin Gothic Book" w:hAnsi="Franklin Gothic Book"/>
                <w:szCs w:val="22"/>
              </w:rPr>
              <w:t>Причал №3 Восточного пирса ПАО «НМТП»</w:t>
            </w:r>
          </w:p>
          <w:p w:rsidR="00B63412" w:rsidRPr="00DC2F5A" w:rsidRDefault="00B63412" w:rsidP="00A46267">
            <w:pPr>
              <w:jc w:val="both"/>
              <w:rPr>
                <w:rFonts w:ascii="Franklin Gothic Book" w:hAnsi="Franklin Gothic Book"/>
              </w:rPr>
            </w:pPr>
            <w:r w:rsidRPr="00B63412">
              <w:rPr>
                <w:rFonts w:ascii="Franklin Gothic Book" w:hAnsi="Franklin Gothic Book"/>
              </w:rPr>
              <w:t>с момента подписания договора и завершены до 30.12.2016 г.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B959D6" w:rsidRPr="00D67143" w:rsidRDefault="00B63412" w:rsidP="00B63412">
            <w:pPr>
              <w:numPr>
                <w:ilvl w:val="1"/>
                <w:numId w:val="33"/>
              </w:numPr>
              <w:ind w:left="-59" w:firstLine="0"/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B63412">
              <w:rPr>
                <w:rFonts w:ascii="Franklin Gothic Book" w:hAnsi="Franklin Gothic Book"/>
              </w:rPr>
              <w:t xml:space="preserve">Расчет за выполненные  работы  производится Заказчиком в течение 5-ти рабочих дней </w:t>
            </w:r>
            <w:proofErr w:type="gramStart"/>
            <w:r w:rsidRPr="00B63412">
              <w:rPr>
                <w:rFonts w:ascii="Franklin Gothic Book" w:hAnsi="Franklin Gothic Book"/>
              </w:rPr>
              <w:t>с даты представления</w:t>
            </w:r>
            <w:proofErr w:type="gramEnd"/>
            <w:r w:rsidRPr="00B63412">
              <w:rPr>
                <w:rFonts w:ascii="Franklin Gothic Book" w:hAnsi="Franklin Gothic Book"/>
              </w:rPr>
              <w:t xml:space="preserve"> счета, подписанного сторонами Акта сдачи-приемки работ. Основанием для расчета служат Акты сдачи-приемки работ, счета и счета-фактуры.</w:t>
            </w:r>
            <w:bookmarkEnd w:id="0"/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Требования к участникам закупки и перечень документов, предоставляемых участниками </w:t>
            </w:r>
            <w:r>
              <w:rPr>
                <w:rFonts w:ascii="Franklin Gothic Book" w:hAnsi="Franklin Gothic Book"/>
                <w:bCs/>
              </w:rPr>
              <w:lastRenderedPageBreak/>
              <w:t>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58</cp:revision>
  <cp:lastPrinted>2016-12-27T06:38:00Z</cp:lastPrinted>
  <dcterms:created xsi:type="dcterms:W3CDTF">2016-06-21T09:17:00Z</dcterms:created>
  <dcterms:modified xsi:type="dcterms:W3CDTF">2016-12-27T06:38:00Z</dcterms:modified>
</cp:coreProperties>
</file>